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F91F4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 xml:space="preserve">Efecto modulador de los aceites esenciales de menta y eucalipto en pollos infectados con </w:t>
      </w:r>
      <w:proofErr w:type="spellStart"/>
      <w:r w:rsidRPr="00675B35">
        <w:rPr>
          <w:b/>
          <w:bCs/>
        </w:rPr>
        <w:t>vVND</w:t>
      </w:r>
      <w:proofErr w:type="spellEnd"/>
    </w:p>
    <w:p w14:paraId="5A9F366C" w14:textId="77777777" w:rsidR="00675B35" w:rsidRPr="00675B35" w:rsidRDefault="00675B35" w:rsidP="00675B35">
      <w:proofErr w:type="spellStart"/>
      <w:r w:rsidRPr="00675B35">
        <w:rPr>
          <w:b/>
          <w:bCs/>
        </w:rPr>
        <w:t>Pakistan</w:t>
      </w:r>
      <w:proofErr w:type="spellEnd"/>
      <w:r w:rsidRPr="00675B35">
        <w:rPr>
          <w:b/>
          <w:bCs/>
        </w:rPr>
        <w:t xml:space="preserve"> </w:t>
      </w:r>
      <w:proofErr w:type="spellStart"/>
      <w:r w:rsidRPr="00675B35">
        <w:rPr>
          <w:b/>
          <w:bCs/>
        </w:rPr>
        <w:t>Veterinary</w:t>
      </w:r>
      <w:proofErr w:type="spellEnd"/>
      <w:r w:rsidRPr="00675B35">
        <w:rPr>
          <w:b/>
          <w:bCs/>
        </w:rPr>
        <w:t xml:space="preserve"> </w:t>
      </w:r>
      <w:proofErr w:type="spellStart"/>
      <w:r w:rsidRPr="00675B35">
        <w:rPr>
          <w:b/>
          <w:bCs/>
        </w:rPr>
        <w:t>Journal</w:t>
      </w:r>
      <w:proofErr w:type="spellEnd"/>
      <w:r w:rsidRPr="00675B35">
        <w:rPr>
          <w:b/>
          <w:bCs/>
        </w:rPr>
        <w:t>, 2016, 36(3): 350-355</w:t>
      </w:r>
    </w:p>
    <w:p w14:paraId="28F7C5F2" w14:textId="77777777" w:rsidR="00675B35" w:rsidRPr="00675B35" w:rsidRDefault="00675B35" w:rsidP="00675B35">
      <w:r w:rsidRPr="00675B35">
        <w:rPr>
          <w:b/>
          <w:bCs/>
        </w:rPr>
        <w:t>Autores:</w:t>
      </w:r>
      <w:r w:rsidRPr="00675B35">
        <w:br/>
        <w:t xml:space="preserve">MHH Awaad, MAA Afify, SA </w:t>
      </w:r>
      <w:proofErr w:type="spellStart"/>
      <w:r w:rsidRPr="00675B35">
        <w:t>Zoulfekar</w:t>
      </w:r>
      <w:proofErr w:type="spellEnd"/>
      <w:r w:rsidRPr="00675B35">
        <w:t xml:space="preserve">, Faten F Mohammed, MA </w:t>
      </w:r>
      <w:proofErr w:type="spellStart"/>
      <w:r w:rsidRPr="00675B35">
        <w:t>Elmenawy</w:t>
      </w:r>
      <w:proofErr w:type="spellEnd"/>
      <w:r w:rsidRPr="00675B35">
        <w:t xml:space="preserve"> y HM Hafez.</w:t>
      </w:r>
    </w:p>
    <w:p w14:paraId="4471A04B" w14:textId="77777777" w:rsidR="00675B35" w:rsidRPr="00675B35" w:rsidRDefault="00675B35" w:rsidP="00675B35">
      <w:r w:rsidRPr="00675B35">
        <w:pict w14:anchorId="0859F5C4">
          <v:rect id="_x0000_i1193" style="width:0;height:1.5pt" o:hralign="center" o:hrstd="t" o:hr="t" fillcolor="#a0a0a0" stroked="f"/>
        </w:pict>
      </w:r>
    </w:p>
    <w:p w14:paraId="561F2CBE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Resumen</w:t>
      </w:r>
    </w:p>
    <w:p w14:paraId="05046A84" w14:textId="77777777" w:rsidR="00675B35" w:rsidRPr="00675B35" w:rsidRDefault="00675B35" w:rsidP="00675B35">
      <w:r w:rsidRPr="00675B35">
        <w:t>El tratamiento de pollos de engorde con una mezcla de aceites esenciales de menta y eucalipto mejoró la protección y el rendimiento productivo en comparación con las aves infectadas del grupo control positivo.</w:t>
      </w:r>
    </w:p>
    <w:p w14:paraId="1576F63D" w14:textId="77777777" w:rsidR="00675B35" w:rsidRPr="00675B35" w:rsidRDefault="00675B35" w:rsidP="00675B35">
      <w:r w:rsidRPr="00675B35">
        <w:t xml:space="preserve">Este tratamiento disminuyó la mortalidad total, aumentó el peso corporal final y redujo el índice de conversión alimenticia final, conocido como FCR, con diferencias significativas de </w:t>
      </w:r>
      <w:r w:rsidRPr="00675B35">
        <w:rPr>
          <w:b/>
          <w:bCs/>
        </w:rPr>
        <w:t>P≤0.05</w:t>
      </w:r>
      <w:r w:rsidRPr="00675B35">
        <w:t>.</w:t>
      </w:r>
    </w:p>
    <w:p w14:paraId="0FD1430D" w14:textId="77777777" w:rsidR="00675B35" w:rsidRPr="00675B35" w:rsidRDefault="00675B35" w:rsidP="00675B35">
      <w:r w:rsidRPr="00675B35">
        <w:t>La mezcla de aceites esenciales de menta y eucalipto tuvo un efecto positivo sobre las lesiones macroscópicas y microscópicas. Además, mejoró los títulos de anticuerpos medidos por HI y ELISA contra la vacuna del virus de Newcastle, en comparación con los grupos control no tratados.</w:t>
      </w:r>
    </w:p>
    <w:p w14:paraId="6A0608BC" w14:textId="77777777" w:rsidR="00675B35" w:rsidRPr="00675B35" w:rsidRDefault="00675B35" w:rsidP="00675B35">
      <w:r w:rsidRPr="00675B35">
        <w:t xml:space="preserve">En conclusión, la mezcla de aceites esenciales de menta y eucalipto usada en esta investigación controló significativamente la infección por el virus </w:t>
      </w:r>
      <w:proofErr w:type="spellStart"/>
      <w:r w:rsidRPr="00675B35">
        <w:t>velogénico</w:t>
      </w:r>
      <w:proofErr w:type="spellEnd"/>
      <w:r w:rsidRPr="00675B35">
        <w:t xml:space="preserve"> de Newcastle, ya que tuvo un efecto inmunomodulador y estimuló positivamente la respuesta inmune contra este virus altamente agresivo, el cual tiene un gran impacto económico negativo en la industria avícola.</w:t>
      </w:r>
    </w:p>
    <w:p w14:paraId="048A0B49" w14:textId="77777777" w:rsidR="00675B35" w:rsidRPr="00675B35" w:rsidRDefault="00675B35" w:rsidP="00675B35">
      <w:r w:rsidRPr="00675B35">
        <w:rPr>
          <w:b/>
          <w:bCs/>
        </w:rPr>
        <w:t>Palabras clave:</w:t>
      </w:r>
      <w:r w:rsidRPr="00675B35">
        <w:t xml:space="preserve"> pollos de engorde, eucalipto, respuesta inmune, menta, aceites volátiles, virus </w:t>
      </w:r>
      <w:proofErr w:type="spellStart"/>
      <w:r w:rsidRPr="00675B35">
        <w:t>velogénico</w:t>
      </w:r>
      <w:proofErr w:type="spellEnd"/>
      <w:r w:rsidRPr="00675B35">
        <w:t xml:space="preserve"> de Newcastle.</w:t>
      </w:r>
    </w:p>
    <w:p w14:paraId="3EDFB414" w14:textId="77777777" w:rsidR="00675B35" w:rsidRPr="00675B35" w:rsidRDefault="00675B35" w:rsidP="00675B35">
      <w:r w:rsidRPr="00675B35">
        <w:pict w14:anchorId="7E360238">
          <v:rect id="_x0000_i1194" style="width:0;height:1.5pt" o:hralign="center" o:hrstd="t" o:hr="t" fillcolor="#a0a0a0" stroked="f"/>
        </w:pict>
      </w:r>
    </w:p>
    <w:p w14:paraId="270C44D3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Introducción</w:t>
      </w:r>
    </w:p>
    <w:p w14:paraId="1CB9192A" w14:textId="77777777" w:rsidR="00675B35" w:rsidRPr="00675B35" w:rsidRDefault="00675B35" w:rsidP="00675B35">
      <w:r w:rsidRPr="00675B35">
        <w:t>Los productos herbales y sus extractos oleosos se han usado como terapia natural en productos farmacéuticos. Sin embargo, solo en los últimos años las plantas aromáticas y sus extractos se han introducido en la alimentación animal.</w:t>
      </w:r>
    </w:p>
    <w:p w14:paraId="040710D1" w14:textId="77777777" w:rsidR="00675B35" w:rsidRPr="00675B35" w:rsidRDefault="00675B35" w:rsidP="00675B35">
      <w:r w:rsidRPr="00675B35">
        <w:t>Existen complicaciones porque los productos herbales y sus aceites usados como aditivos alimentarios pueden variar mucho según su origen botánico, procesamiento y composición.</w:t>
      </w:r>
    </w:p>
    <w:p w14:paraId="1E1CCA04" w14:textId="77777777" w:rsidR="00675B35" w:rsidRPr="00675B35" w:rsidRDefault="00675B35" w:rsidP="00675B35">
      <w:r w:rsidRPr="00675B35">
        <w:t xml:space="preserve">La mayoría de </w:t>
      </w:r>
      <w:proofErr w:type="gramStart"/>
      <w:r w:rsidRPr="00675B35">
        <w:t>estudios</w:t>
      </w:r>
      <w:proofErr w:type="gramEnd"/>
      <w:r w:rsidRPr="00675B35">
        <w:t xml:space="preserve"> investigaron mezclas de distintos compuestos activos y reportaron sus efectos sobre el rendimiento productivo, más que sobre sus impactos fisiológicos.</w:t>
      </w:r>
    </w:p>
    <w:p w14:paraId="517EB5BF" w14:textId="77777777" w:rsidR="00675B35" w:rsidRPr="00675B35" w:rsidRDefault="00675B35" w:rsidP="00675B35">
      <w:r w:rsidRPr="00675B35">
        <w:t>Los componentes inmunomoduladores fortalecen los mecanismos de defensa e inmunidad del organismo. Actualmente se usan para estimular la respuesta inmune no específica tanto en medicina humana como veterinaria.</w:t>
      </w:r>
    </w:p>
    <w:p w14:paraId="050F465E" w14:textId="77777777" w:rsidR="00675B35" w:rsidRPr="00675B35" w:rsidRDefault="00675B35" w:rsidP="00675B35">
      <w:r w:rsidRPr="00675B35">
        <w:t>La mezcla de aceites esenciales de menta y eucalipto demostró tener un efecto inmunoestimulante sobre la respuesta inmune humoral y celular frente a la enfermedad de Newcastle en pollos.</w:t>
      </w:r>
    </w:p>
    <w:p w14:paraId="360B3FCB" w14:textId="77777777" w:rsidR="00675B35" w:rsidRPr="00675B35" w:rsidRDefault="00675B35" w:rsidP="00675B35">
      <w:r w:rsidRPr="00675B35">
        <w:t>También se evidenció su utilidad para modular la respuesta inmune en aves inmunocomprometidas después de la infección con el virus de la enfermedad infecciosa de la bolsa, IBDV, y/o después de la vacunación contra IBDV, en comparación con grupos control no tratados.</w:t>
      </w:r>
    </w:p>
    <w:p w14:paraId="689B18B3" w14:textId="77777777" w:rsidR="00675B35" w:rsidRPr="00675B35" w:rsidRDefault="00675B35" w:rsidP="00675B35">
      <w:r w:rsidRPr="00675B35">
        <w:lastRenderedPageBreak/>
        <w:t xml:space="preserve">El presente ensayo tuvo como objetivo determinar los posibles efectos moduladores del uso de aceites esenciales de menta y eucalipto en emulsificantes en pollos de engorde infectados con el virus </w:t>
      </w:r>
      <w:proofErr w:type="spellStart"/>
      <w:r w:rsidRPr="00675B35">
        <w:t>velogénico</w:t>
      </w:r>
      <w:proofErr w:type="spellEnd"/>
      <w:r w:rsidRPr="00675B35">
        <w:t xml:space="preserve"> de Newcastle, </w:t>
      </w:r>
      <w:proofErr w:type="spellStart"/>
      <w:r w:rsidRPr="00675B35">
        <w:t>vVND</w:t>
      </w:r>
      <w:proofErr w:type="spellEnd"/>
      <w:r w:rsidRPr="00675B35">
        <w:t>.</w:t>
      </w:r>
    </w:p>
    <w:p w14:paraId="210F6F95" w14:textId="77777777" w:rsidR="00675B35" w:rsidRPr="00675B35" w:rsidRDefault="00675B35" w:rsidP="00675B35">
      <w:r w:rsidRPr="00675B35">
        <w:pict w14:anchorId="79000A03">
          <v:rect id="_x0000_i1195" style="width:0;height:1.5pt" o:hralign="center" o:hrstd="t" o:hr="t" fillcolor="#a0a0a0" stroked="f"/>
        </w:pict>
      </w:r>
    </w:p>
    <w:p w14:paraId="683877D3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Materiales y métodos</w:t>
      </w:r>
    </w:p>
    <w:p w14:paraId="5959CB8B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Mezcla de aceites esenciales volátiles</w:t>
      </w:r>
    </w:p>
    <w:p w14:paraId="64E270EE" w14:textId="77777777" w:rsidR="00675B35" w:rsidRPr="00675B35" w:rsidRDefault="00675B35" w:rsidP="00675B35">
      <w:r w:rsidRPr="00675B35">
        <w:t xml:space="preserve">Se utilizó una mezcla comercial de aceites esenciales volátiles de menta y eucalipto en emulsificantes, producida bajo el nombre comercial </w:t>
      </w:r>
      <w:proofErr w:type="spellStart"/>
      <w:r w:rsidRPr="00675B35">
        <w:rPr>
          <w:b/>
          <w:bCs/>
        </w:rPr>
        <w:t>Mentofin</w:t>
      </w:r>
      <w:proofErr w:type="spellEnd"/>
      <w:r w:rsidRPr="00675B35">
        <w:rPr>
          <w:b/>
          <w:bCs/>
        </w:rPr>
        <w:t>®</w:t>
      </w:r>
      <w:r w:rsidRPr="00675B35">
        <w:t xml:space="preserve"> por la empresa EWABO Co., Alemania.</w:t>
      </w:r>
    </w:p>
    <w:p w14:paraId="5E1347B4" w14:textId="77777777" w:rsidR="00675B35" w:rsidRPr="00675B35" w:rsidRDefault="00675B35" w:rsidP="00675B35">
      <w:proofErr w:type="spellStart"/>
      <w:r w:rsidRPr="00675B35">
        <w:t>Mentofin</w:t>
      </w:r>
      <w:proofErr w:type="spellEnd"/>
      <w:r w:rsidRPr="00675B35">
        <w:t xml:space="preserve"> contiene:</w:t>
      </w:r>
    </w:p>
    <w:p w14:paraId="24B2BE27" w14:textId="77777777" w:rsidR="00675B35" w:rsidRPr="00675B35" w:rsidRDefault="00675B35" w:rsidP="00675B35">
      <w:pPr>
        <w:numPr>
          <w:ilvl w:val="0"/>
          <w:numId w:val="1"/>
        </w:numPr>
      </w:pPr>
      <w:proofErr w:type="spellStart"/>
      <w:r w:rsidRPr="00675B35">
        <w:t>Cineol</w:t>
      </w:r>
      <w:proofErr w:type="spellEnd"/>
      <w:r w:rsidRPr="00675B35">
        <w:t xml:space="preserve">: </w:t>
      </w:r>
      <w:r w:rsidRPr="00675B35">
        <w:rPr>
          <w:b/>
          <w:bCs/>
        </w:rPr>
        <w:t>42.2%</w:t>
      </w:r>
      <w:r w:rsidRPr="00675B35">
        <w:t xml:space="preserve"> </w:t>
      </w:r>
    </w:p>
    <w:p w14:paraId="78359802" w14:textId="77777777" w:rsidR="00675B35" w:rsidRPr="00675B35" w:rsidRDefault="00675B35" w:rsidP="00675B35">
      <w:pPr>
        <w:numPr>
          <w:ilvl w:val="0"/>
          <w:numId w:val="1"/>
        </w:numPr>
      </w:pPr>
      <w:r w:rsidRPr="00675B35">
        <w:t xml:space="preserve">Limoneno: </w:t>
      </w:r>
      <w:r w:rsidRPr="00675B35">
        <w:rPr>
          <w:b/>
          <w:bCs/>
        </w:rPr>
        <w:t>3.5%</w:t>
      </w:r>
      <w:r w:rsidRPr="00675B35">
        <w:t xml:space="preserve"> </w:t>
      </w:r>
    </w:p>
    <w:p w14:paraId="3B158D9F" w14:textId="77777777" w:rsidR="00675B35" w:rsidRPr="00675B35" w:rsidRDefault="00675B35" w:rsidP="00675B35">
      <w:pPr>
        <w:numPr>
          <w:ilvl w:val="0"/>
          <w:numId w:val="1"/>
        </w:numPr>
      </w:pPr>
      <w:r w:rsidRPr="00675B35">
        <w:t xml:space="preserve">L-mentol: </w:t>
      </w:r>
      <w:r w:rsidRPr="00675B35">
        <w:rPr>
          <w:b/>
          <w:bCs/>
        </w:rPr>
        <w:t>48.7%</w:t>
      </w:r>
      <w:r w:rsidRPr="00675B35">
        <w:t xml:space="preserve"> </w:t>
      </w:r>
    </w:p>
    <w:p w14:paraId="44E6E135" w14:textId="77777777" w:rsidR="00675B35" w:rsidRPr="00675B35" w:rsidRDefault="00675B35" w:rsidP="00675B35">
      <w:pPr>
        <w:numPr>
          <w:ilvl w:val="0"/>
          <w:numId w:val="1"/>
        </w:numPr>
      </w:pPr>
      <w:proofErr w:type="spellStart"/>
      <w:r w:rsidRPr="00675B35">
        <w:t>Felandreno</w:t>
      </w:r>
      <w:proofErr w:type="spellEnd"/>
      <w:r w:rsidRPr="00675B35">
        <w:t xml:space="preserve">: </w:t>
      </w:r>
      <w:r w:rsidRPr="00675B35">
        <w:rPr>
          <w:b/>
          <w:bCs/>
        </w:rPr>
        <w:t>0.5%</w:t>
      </w:r>
      <w:r w:rsidRPr="00675B35">
        <w:t xml:space="preserve"> </w:t>
      </w:r>
    </w:p>
    <w:p w14:paraId="685A7CED" w14:textId="77777777" w:rsidR="00675B35" w:rsidRPr="00675B35" w:rsidRDefault="00675B35" w:rsidP="00675B35">
      <w:pPr>
        <w:numPr>
          <w:ilvl w:val="0"/>
          <w:numId w:val="1"/>
        </w:numPr>
      </w:pPr>
      <w:r w:rsidRPr="00675B35">
        <w:t xml:space="preserve">Alfa-pineno: </w:t>
      </w:r>
      <w:r w:rsidRPr="00675B35">
        <w:rPr>
          <w:b/>
          <w:bCs/>
        </w:rPr>
        <w:t>1.0%</w:t>
      </w:r>
      <w:r w:rsidRPr="00675B35">
        <w:t xml:space="preserve"> </w:t>
      </w:r>
    </w:p>
    <w:p w14:paraId="727785A8" w14:textId="77777777" w:rsidR="00675B35" w:rsidRPr="00675B35" w:rsidRDefault="00675B35" w:rsidP="00675B35">
      <w:pPr>
        <w:numPr>
          <w:ilvl w:val="0"/>
          <w:numId w:val="1"/>
        </w:numPr>
      </w:pPr>
      <w:r w:rsidRPr="00675B35">
        <w:t xml:space="preserve">Beta-pineno: </w:t>
      </w:r>
      <w:r w:rsidRPr="00675B35">
        <w:rPr>
          <w:b/>
          <w:bCs/>
        </w:rPr>
        <w:t>0.3%</w:t>
      </w:r>
      <w:r w:rsidRPr="00675B35">
        <w:t xml:space="preserve"> </w:t>
      </w:r>
    </w:p>
    <w:p w14:paraId="6E4F7E02" w14:textId="77777777" w:rsidR="00675B35" w:rsidRPr="00675B35" w:rsidRDefault="00675B35" w:rsidP="00675B35">
      <w:pPr>
        <w:numPr>
          <w:ilvl w:val="0"/>
          <w:numId w:val="1"/>
        </w:numPr>
      </w:pPr>
      <w:proofErr w:type="spellStart"/>
      <w:r w:rsidRPr="00675B35">
        <w:t>Terpineol</w:t>
      </w:r>
      <w:proofErr w:type="spellEnd"/>
      <w:r w:rsidRPr="00675B35">
        <w:t xml:space="preserve">: </w:t>
      </w:r>
      <w:r w:rsidRPr="00675B35">
        <w:rPr>
          <w:b/>
          <w:bCs/>
        </w:rPr>
        <w:t>0.3%</w:t>
      </w:r>
      <w:r w:rsidRPr="00675B35">
        <w:t xml:space="preserve"> </w:t>
      </w:r>
    </w:p>
    <w:p w14:paraId="7AA1F5DA" w14:textId="77777777" w:rsidR="00675B35" w:rsidRPr="00675B35" w:rsidRDefault="00675B35" w:rsidP="00675B35">
      <w:r w:rsidRPr="00675B35">
        <w:pict w14:anchorId="118D160B">
          <v:rect id="_x0000_i1196" style="width:0;height:1.5pt" o:hralign="center" o:hrstd="t" o:hr="t" fillcolor="#a0a0a0" stroked="f"/>
        </w:pict>
      </w:r>
    </w:p>
    <w:p w14:paraId="3261B863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Cepa desafiante del virus de Newcastle</w:t>
      </w:r>
    </w:p>
    <w:p w14:paraId="69EB821B" w14:textId="77777777" w:rsidR="00675B35" w:rsidRPr="00675B35" w:rsidRDefault="00675B35" w:rsidP="00675B35">
      <w:r w:rsidRPr="00675B35">
        <w:t>El virus fue aislado en embriones de pollo de 10 días de edad e identificado como virus de Newcastle mediante PCR.</w:t>
      </w:r>
    </w:p>
    <w:p w14:paraId="0AEB4557" w14:textId="77777777" w:rsidR="00675B35" w:rsidRPr="00675B35" w:rsidRDefault="00675B35" w:rsidP="00675B35">
      <w:r w:rsidRPr="00675B35">
        <w:t xml:space="preserve">La secuencia del producto de PCR demostró ser similar al genotipo VII, </w:t>
      </w:r>
      <w:proofErr w:type="spellStart"/>
      <w:r w:rsidRPr="00675B35">
        <w:t>Chicken</w:t>
      </w:r>
      <w:proofErr w:type="spellEnd"/>
      <w:r w:rsidRPr="00675B35">
        <w:t>/China/SDWF07/2011, número de acceso JQ015296.</w:t>
      </w:r>
    </w:p>
    <w:p w14:paraId="7ECFD3EC" w14:textId="77777777" w:rsidR="00675B35" w:rsidRPr="00675B35" w:rsidRDefault="00675B35" w:rsidP="00675B35">
      <w:r w:rsidRPr="00675B35">
        <w:t xml:space="preserve">La </w:t>
      </w:r>
      <w:proofErr w:type="spellStart"/>
      <w:r w:rsidRPr="00675B35">
        <w:t>velogenicidad</w:t>
      </w:r>
      <w:proofErr w:type="spellEnd"/>
      <w:r w:rsidRPr="00675B35">
        <w:t xml:space="preserve"> del virus fue monitoreada mediante inoculación intramuscular en 10 aves de 28 días de edad, pollos de engorde libres de anticuerpos contra Newcastle. Se usó una dosis de </w:t>
      </w:r>
      <w:r w:rsidRPr="00675B35">
        <w:rPr>
          <w:b/>
          <w:bCs/>
        </w:rPr>
        <w:t>10</w:t>
      </w:r>
      <w:proofErr w:type="gramStart"/>
      <w:r w:rsidRPr="00675B35">
        <w:rPr>
          <w:b/>
          <w:bCs/>
        </w:rPr>
        <w:t>⁶.⁸</w:t>
      </w:r>
      <w:proofErr w:type="gramEnd"/>
      <w:r w:rsidRPr="00675B35">
        <w:rPr>
          <w:b/>
          <w:bCs/>
        </w:rPr>
        <w:t xml:space="preserve"> EID50/ml/ave</w:t>
      </w:r>
      <w:r w:rsidRPr="00675B35">
        <w:t xml:space="preserve">, lo que produjo </w:t>
      </w:r>
      <w:r w:rsidRPr="00675B35">
        <w:rPr>
          <w:b/>
          <w:bCs/>
        </w:rPr>
        <w:t>100% de mortalidad</w:t>
      </w:r>
      <w:r w:rsidRPr="00675B35">
        <w:t>.</w:t>
      </w:r>
    </w:p>
    <w:p w14:paraId="06020338" w14:textId="77777777" w:rsidR="00675B35" w:rsidRPr="00675B35" w:rsidRDefault="00675B35" w:rsidP="00675B35">
      <w:r w:rsidRPr="00675B35">
        <w:pict w14:anchorId="6C936EB2">
          <v:rect id="_x0000_i1197" style="width:0;height:1.5pt" o:hralign="center" o:hrstd="t" o:hr="t" fillcolor="#a0a0a0" stroked="f"/>
        </w:pict>
      </w:r>
    </w:p>
    <w:p w14:paraId="16421FD6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Diseño experimental</w:t>
      </w:r>
    </w:p>
    <w:p w14:paraId="01CC19D5" w14:textId="77777777" w:rsidR="00675B35" w:rsidRPr="00675B35" w:rsidRDefault="00675B35" w:rsidP="00675B35">
      <w:r w:rsidRPr="00675B35">
        <w:t xml:space="preserve">Se utilizaron </w:t>
      </w:r>
      <w:r w:rsidRPr="00675B35">
        <w:rPr>
          <w:b/>
          <w:bCs/>
        </w:rPr>
        <w:t>300 pollos de engorde Arbor Acres</w:t>
      </w:r>
      <w:r w:rsidRPr="00675B35">
        <w:t xml:space="preserve"> de un día de edad. Fueron distribuidos en 5 grupos iguales, del grupo 1 al 5, con </w:t>
      </w:r>
      <w:r w:rsidRPr="00675B35">
        <w:rPr>
          <w:b/>
          <w:bCs/>
        </w:rPr>
        <w:t>60 aves por grupo</w:t>
      </w:r>
      <w:r w:rsidRPr="00675B35">
        <w:t>.</w:t>
      </w:r>
    </w:p>
    <w:p w14:paraId="0E079FA1" w14:textId="77777777" w:rsidR="00675B35" w:rsidRPr="00675B35" w:rsidRDefault="00675B35" w:rsidP="00675B35">
      <w:r w:rsidRPr="00675B35">
        <w:t>Cada grupo fue dividido en 3 réplicas de 20 aves cada una, mantenidas en aisladores bajo estrictas medidas de bioseguridad.</w:t>
      </w:r>
    </w:p>
    <w:p w14:paraId="55838D26" w14:textId="77777777" w:rsidR="00675B35" w:rsidRPr="00675B35" w:rsidRDefault="00675B35" w:rsidP="00675B35">
      <w:r w:rsidRPr="00675B35">
        <w:t>Las aves tuvieron libre acceso al agua y fueron alimentadas con una ración comercial ad libitum.</w:t>
      </w:r>
    </w:p>
    <w:p w14:paraId="32CADB59" w14:textId="77777777" w:rsidR="00675B35" w:rsidRPr="00675B35" w:rsidRDefault="00675B35" w:rsidP="00675B35">
      <w:r w:rsidRPr="00675B35">
        <w:t>Las aves de los grupos 2, 3 y 4 fueron vacunadas contra diferentes enfermedades de acuerdo con los programas de vacunación usados normalmente en granjas egipcias de pollos de engorde.</w:t>
      </w:r>
    </w:p>
    <w:p w14:paraId="2B4DB86E" w14:textId="77777777" w:rsidR="00675B35" w:rsidRPr="00675B35" w:rsidRDefault="00675B35" w:rsidP="00675B35">
      <w:r w:rsidRPr="00675B35">
        <w:lastRenderedPageBreak/>
        <w:t>Los grupos 1 y 5 se mantuvieron como grupos control sin vacunación contra Newcastle.</w:t>
      </w:r>
    </w:p>
    <w:p w14:paraId="5FA9184B" w14:textId="77777777" w:rsidR="00675B35" w:rsidRPr="00675B35" w:rsidRDefault="00675B35" w:rsidP="00675B35">
      <w:r w:rsidRPr="00675B35">
        <w:pict w14:anchorId="6F0AA689">
          <v:rect id="_x0000_i1198" style="width:0;height:1.5pt" o:hralign="center" o:hrstd="t" o:hr="t" fillcolor="#a0a0a0" stroked="f"/>
        </w:pict>
      </w:r>
    </w:p>
    <w:p w14:paraId="7515E842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Tratamiento con aceites esenciales</w:t>
      </w:r>
    </w:p>
    <w:p w14:paraId="647C2535" w14:textId="77777777" w:rsidR="00675B35" w:rsidRPr="00675B35" w:rsidRDefault="00675B35" w:rsidP="00675B35">
      <w:r w:rsidRPr="00675B35">
        <w:t>Los pollos de los grupos 1, 3 y 5 fueron tratados con la mezcla de aceites esenciales volátiles de menta y eucalipto por dos vías:</w:t>
      </w:r>
    </w:p>
    <w:p w14:paraId="09AC5E90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1. Vía oral en agua de bebida</w:t>
      </w:r>
    </w:p>
    <w:p w14:paraId="34B47AE7" w14:textId="77777777" w:rsidR="00675B35" w:rsidRPr="00675B35" w:rsidRDefault="00675B35" w:rsidP="00675B35">
      <w:r w:rsidRPr="00675B35">
        <w:t>Se aplicó en los siguientes intervalos:</w:t>
      </w:r>
    </w:p>
    <w:p w14:paraId="0ADBB96D" w14:textId="77777777" w:rsidR="00675B35" w:rsidRPr="00675B35" w:rsidRDefault="00675B35" w:rsidP="00675B35">
      <w:pPr>
        <w:numPr>
          <w:ilvl w:val="0"/>
          <w:numId w:val="2"/>
        </w:numPr>
      </w:pPr>
      <w:r w:rsidRPr="00675B35">
        <w:t xml:space="preserve">Día 4 al 7 </w:t>
      </w:r>
    </w:p>
    <w:p w14:paraId="2A654558" w14:textId="77777777" w:rsidR="00675B35" w:rsidRPr="00675B35" w:rsidRDefault="00675B35" w:rsidP="00675B35">
      <w:pPr>
        <w:numPr>
          <w:ilvl w:val="0"/>
          <w:numId w:val="2"/>
        </w:numPr>
      </w:pPr>
      <w:r w:rsidRPr="00675B35">
        <w:t xml:space="preserve">Día 16 al 18 </w:t>
      </w:r>
    </w:p>
    <w:p w14:paraId="0A220408" w14:textId="77777777" w:rsidR="00675B35" w:rsidRPr="00675B35" w:rsidRDefault="00675B35" w:rsidP="00675B35">
      <w:pPr>
        <w:numPr>
          <w:ilvl w:val="0"/>
          <w:numId w:val="2"/>
        </w:numPr>
      </w:pPr>
      <w:r w:rsidRPr="00675B35">
        <w:t xml:space="preserve">Día 25 al 39 </w:t>
      </w:r>
    </w:p>
    <w:p w14:paraId="5601702F" w14:textId="77777777" w:rsidR="00675B35" w:rsidRPr="00675B35" w:rsidRDefault="00675B35" w:rsidP="00675B35">
      <w:r w:rsidRPr="00675B35">
        <w:t xml:space="preserve">Dosis: </w:t>
      </w:r>
      <w:r w:rsidRPr="00675B35">
        <w:rPr>
          <w:b/>
          <w:bCs/>
        </w:rPr>
        <w:t>0.25 ml/L</w:t>
      </w:r>
      <w:r w:rsidRPr="00675B35">
        <w:t xml:space="preserve">, durante </w:t>
      </w:r>
      <w:r w:rsidRPr="00675B35">
        <w:rPr>
          <w:b/>
          <w:bCs/>
        </w:rPr>
        <w:t>12 horas al día</w:t>
      </w:r>
      <w:r w:rsidRPr="00675B35">
        <w:t>.</w:t>
      </w:r>
    </w:p>
    <w:p w14:paraId="1039ADA5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 xml:space="preserve">2. Vía </w:t>
      </w:r>
      <w:proofErr w:type="gramStart"/>
      <w:r w:rsidRPr="00675B35">
        <w:rPr>
          <w:b/>
          <w:bCs/>
        </w:rPr>
        <w:t>spray</w:t>
      </w:r>
      <w:proofErr w:type="gramEnd"/>
    </w:p>
    <w:p w14:paraId="0FC73C01" w14:textId="77777777" w:rsidR="00675B35" w:rsidRPr="00675B35" w:rsidRDefault="00675B35" w:rsidP="00675B35">
      <w:r w:rsidRPr="00675B35">
        <w:t>Se aplicó en los días:</w:t>
      </w:r>
    </w:p>
    <w:p w14:paraId="6955BA84" w14:textId="77777777" w:rsidR="00675B35" w:rsidRPr="00675B35" w:rsidRDefault="00675B35" w:rsidP="00675B35">
      <w:r w:rsidRPr="00675B35">
        <w:t>3, 7, 12, 13, 15, 16, 19, 23, 27, 31, 35 y 39.</w:t>
      </w:r>
    </w:p>
    <w:p w14:paraId="18E15716" w14:textId="77777777" w:rsidR="00675B35" w:rsidRPr="00675B35" w:rsidRDefault="00675B35" w:rsidP="00675B35">
      <w:r w:rsidRPr="00675B35">
        <w:t xml:space="preserve">Dosis: </w:t>
      </w:r>
      <w:r w:rsidRPr="00675B35">
        <w:rPr>
          <w:b/>
          <w:bCs/>
        </w:rPr>
        <w:t>0.1 ml/20 ml de agua/10 aves</w:t>
      </w:r>
      <w:r w:rsidRPr="00675B35">
        <w:t xml:space="preserve">, usando </w:t>
      </w:r>
      <w:proofErr w:type="gramStart"/>
      <w:r w:rsidRPr="00675B35">
        <w:t>spray</w:t>
      </w:r>
      <w:proofErr w:type="gramEnd"/>
      <w:r w:rsidRPr="00675B35">
        <w:t xml:space="preserve"> fino menor de 3 micras, según recomendación del fabricante.</w:t>
      </w:r>
    </w:p>
    <w:p w14:paraId="17D6A782" w14:textId="77777777" w:rsidR="00675B35" w:rsidRPr="00675B35" w:rsidRDefault="00675B35" w:rsidP="00675B35">
      <w:r w:rsidRPr="00675B35">
        <w:t>Los grupos 2 y 4 no recibieron tratamiento.</w:t>
      </w:r>
    </w:p>
    <w:p w14:paraId="20E4E8C4" w14:textId="77777777" w:rsidR="00675B35" w:rsidRPr="00675B35" w:rsidRDefault="00675B35" w:rsidP="00675B35">
      <w:r w:rsidRPr="00675B35">
        <w:pict w14:anchorId="06A3C9FD">
          <v:rect id="_x0000_i1199" style="width:0;height:1.5pt" o:hralign="center" o:hrstd="t" o:hr="t" fillcolor="#a0a0a0" stroked="f"/>
        </w:pict>
      </w:r>
    </w:p>
    <w:p w14:paraId="08C26612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Desafío viral</w:t>
      </w:r>
    </w:p>
    <w:p w14:paraId="24D2833A" w14:textId="77777777" w:rsidR="00675B35" w:rsidRPr="00675B35" w:rsidRDefault="00675B35" w:rsidP="00675B35">
      <w:r w:rsidRPr="00675B35">
        <w:t xml:space="preserve">Al día 28 de edad, se seleccionaron aleatoriamente 2 aves de cada réplica, es decir 6 aves por grupo, de los grupos 1 al 4. Estas aves fueron infectadas por vía intramuscular con una dosis de </w:t>
      </w:r>
      <w:r w:rsidRPr="00675B35">
        <w:rPr>
          <w:b/>
          <w:bCs/>
        </w:rPr>
        <w:t>10</w:t>
      </w:r>
      <w:proofErr w:type="gramStart"/>
      <w:r w:rsidRPr="00675B35">
        <w:rPr>
          <w:b/>
          <w:bCs/>
        </w:rPr>
        <w:t>⁶.⁸</w:t>
      </w:r>
      <w:proofErr w:type="gramEnd"/>
      <w:r w:rsidRPr="00675B35">
        <w:rPr>
          <w:b/>
          <w:bCs/>
        </w:rPr>
        <w:t xml:space="preserve"> EID50/ml/ave</w:t>
      </w:r>
      <w:r w:rsidRPr="00675B35">
        <w:t xml:space="preserve"> del virus </w:t>
      </w:r>
      <w:proofErr w:type="spellStart"/>
      <w:r w:rsidRPr="00675B35">
        <w:t>velogénico</w:t>
      </w:r>
      <w:proofErr w:type="spellEnd"/>
      <w:r w:rsidRPr="00675B35">
        <w:t xml:space="preserve"> de Newcastle.</w:t>
      </w:r>
    </w:p>
    <w:p w14:paraId="3B0114DF" w14:textId="77777777" w:rsidR="00675B35" w:rsidRPr="00675B35" w:rsidRDefault="00675B35" w:rsidP="00675B35">
      <w:r w:rsidRPr="00675B35">
        <w:t>Luego fueron mantenidas con sus compañeras de corral para permitir infección por contacto.</w:t>
      </w:r>
    </w:p>
    <w:p w14:paraId="338A8FD2" w14:textId="77777777" w:rsidR="00675B35" w:rsidRPr="00675B35" w:rsidRDefault="00675B35" w:rsidP="00675B35">
      <w:r w:rsidRPr="00675B35">
        <w:t>El grupo 5 permaneció sin infección como control negativo.</w:t>
      </w:r>
    </w:p>
    <w:p w14:paraId="65BC38D6" w14:textId="77777777" w:rsidR="00675B35" w:rsidRPr="00675B35" w:rsidRDefault="00675B35" w:rsidP="00675B35">
      <w:r w:rsidRPr="00675B35">
        <w:t>Las aves infectadas fueron observadas durante 14 días post infección para evaluar:</w:t>
      </w:r>
    </w:p>
    <w:p w14:paraId="00DD69E0" w14:textId="77777777" w:rsidR="00675B35" w:rsidRPr="00675B35" w:rsidRDefault="00675B35" w:rsidP="00675B35">
      <w:pPr>
        <w:numPr>
          <w:ilvl w:val="0"/>
          <w:numId w:val="3"/>
        </w:numPr>
      </w:pPr>
      <w:r w:rsidRPr="00675B35">
        <w:t xml:space="preserve">Tasa de supervivencia. </w:t>
      </w:r>
    </w:p>
    <w:p w14:paraId="49335AB7" w14:textId="77777777" w:rsidR="00675B35" w:rsidRPr="00675B35" w:rsidRDefault="00675B35" w:rsidP="00675B35">
      <w:pPr>
        <w:numPr>
          <w:ilvl w:val="0"/>
          <w:numId w:val="3"/>
        </w:numPr>
      </w:pPr>
      <w:r w:rsidRPr="00675B35">
        <w:t xml:space="preserve">Lesiones macroscópicas en aves muertas. </w:t>
      </w:r>
    </w:p>
    <w:p w14:paraId="522BFBFE" w14:textId="77777777" w:rsidR="00675B35" w:rsidRPr="00675B35" w:rsidRDefault="00675B35" w:rsidP="00675B35">
      <w:pPr>
        <w:numPr>
          <w:ilvl w:val="0"/>
          <w:numId w:val="3"/>
        </w:numPr>
      </w:pPr>
      <w:r w:rsidRPr="00675B35">
        <w:t xml:space="preserve">Lesiones macroscópicas en aves sacrificadas al final del periodo de observación. </w:t>
      </w:r>
    </w:p>
    <w:p w14:paraId="7C6F1896" w14:textId="77777777" w:rsidR="00675B35" w:rsidRPr="00675B35" w:rsidRDefault="00675B35" w:rsidP="00675B35">
      <w:r w:rsidRPr="00675B35">
        <w:pict w14:anchorId="548897E5">
          <v:rect id="_x0000_i1200" style="width:0;height:1.5pt" o:hralign="center" o:hrstd="t" o:hr="t" fillcolor="#a0a0a0" stroked="f"/>
        </w:pict>
      </w:r>
    </w:p>
    <w:p w14:paraId="4D0F201D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Evaluación inmunológica</w:t>
      </w:r>
    </w:p>
    <w:p w14:paraId="584FC87C" w14:textId="77777777" w:rsidR="00675B35" w:rsidRPr="00675B35" w:rsidRDefault="00675B35" w:rsidP="00675B35">
      <w:r w:rsidRPr="00675B35">
        <w:t>Al primer día de edad se tomaron muestras de sangre de 12 aves seleccionadas aleatoriamente para determinar el título medio de anticuerpos maternos contra el virus de Newcastle.</w:t>
      </w:r>
    </w:p>
    <w:p w14:paraId="07CB0F9F" w14:textId="77777777" w:rsidR="00675B35" w:rsidRPr="00675B35" w:rsidRDefault="00675B35" w:rsidP="00675B35">
      <w:r w:rsidRPr="00675B35">
        <w:t>Además, se tomaron muestras de 36 aves por grupo, 12 por réplica, a los días 7, 14, 21 y 28 de edad.</w:t>
      </w:r>
    </w:p>
    <w:p w14:paraId="142300AF" w14:textId="77777777" w:rsidR="00675B35" w:rsidRPr="00675B35" w:rsidRDefault="00675B35" w:rsidP="00675B35">
      <w:r w:rsidRPr="00675B35">
        <w:lastRenderedPageBreak/>
        <w:t>Estas muestras fueron analizadas mediante:</w:t>
      </w:r>
    </w:p>
    <w:p w14:paraId="1DDDFCB6" w14:textId="77777777" w:rsidR="00675B35" w:rsidRPr="00675B35" w:rsidRDefault="00675B35" w:rsidP="00675B35">
      <w:pPr>
        <w:numPr>
          <w:ilvl w:val="0"/>
          <w:numId w:val="4"/>
        </w:numPr>
      </w:pPr>
      <w:r w:rsidRPr="00675B35">
        <w:t xml:space="preserve">ELISA. </w:t>
      </w:r>
    </w:p>
    <w:p w14:paraId="6834A25D" w14:textId="77777777" w:rsidR="00675B35" w:rsidRPr="00675B35" w:rsidRDefault="00675B35" w:rsidP="00675B35">
      <w:pPr>
        <w:numPr>
          <w:ilvl w:val="0"/>
          <w:numId w:val="4"/>
        </w:numPr>
      </w:pPr>
      <w:r w:rsidRPr="00675B35">
        <w:t xml:space="preserve">Prueba de inhibición de la hemaglutinación, HI. </w:t>
      </w:r>
    </w:p>
    <w:p w14:paraId="4645B83B" w14:textId="77777777" w:rsidR="00675B35" w:rsidRPr="00675B35" w:rsidRDefault="00675B35" w:rsidP="00675B35">
      <w:r w:rsidRPr="00675B35">
        <w:pict w14:anchorId="173813BF">
          <v:rect id="_x0000_i1201" style="width:0;height:1.5pt" o:hralign="center" o:hrstd="t" o:hr="t" fillcolor="#a0a0a0" stroked="f"/>
        </w:pict>
      </w:r>
    </w:p>
    <w:p w14:paraId="7BB97F3B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Examen histopatológico</w:t>
      </w:r>
    </w:p>
    <w:p w14:paraId="1652E56F" w14:textId="77777777" w:rsidR="00675B35" w:rsidRPr="00675B35" w:rsidRDefault="00675B35" w:rsidP="00675B35">
      <w:r w:rsidRPr="00675B35">
        <w:t>Al día 35 de edad, se sacrificaron 3 pollos infectados por contacto, seleccionados aleatoriamente de cada grupo infectado.</w:t>
      </w:r>
    </w:p>
    <w:p w14:paraId="0538957D" w14:textId="77777777" w:rsidR="00675B35" w:rsidRPr="00675B35" w:rsidRDefault="00675B35" w:rsidP="00675B35">
      <w:r w:rsidRPr="00675B35">
        <w:t>Se tomaron muestras de:</w:t>
      </w:r>
    </w:p>
    <w:p w14:paraId="66CB9ECB" w14:textId="77777777" w:rsidR="00675B35" w:rsidRPr="00675B35" w:rsidRDefault="00675B35" w:rsidP="00675B35">
      <w:pPr>
        <w:numPr>
          <w:ilvl w:val="0"/>
          <w:numId w:val="5"/>
        </w:numPr>
      </w:pPr>
      <w:r w:rsidRPr="00675B35">
        <w:t xml:space="preserve">Tonsilas cecales. </w:t>
      </w:r>
    </w:p>
    <w:p w14:paraId="2C97CF67" w14:textId="77777777" w:rsidR="00675B35" w:rsidRPr="00675B35" w:rsidRDefault="00675B35" w:rsidP="00675B35">
      <w:pPr>
        <w:numPr>
          <w:ilvl w:val="0"/>
          <w:numId w:val="5"/>
        </w:numPr>
      </w:pPr>
      <w:r w:rsidRPr="00675B35">
        <w:t xml:space="preserve">Pulmones. </w:t>
      </w:r>
    </w:p>
    <w:p w14:paraId="56FC6D58" w14:textId="77777777" w:rsidR="00675B35" w:rsidRPr="00675B35" w:rsidRDefault="00675B35" w:rsidP="00675B35">
      <w:pPr>
        <w:numPr>
          <w:ilvl w:val="0"/>
          <w:numId w:val="5"/>
        </w:numPr>
      </w:pPr>
      <w:r w:rsidRPr="00675B35">
        <w:t xml:space="preserve">Tráquea. </w:t>
      </w:r>
    </w:p>
    <w:p w14:paraId="2CFBBB63" w14:textId="77777777" w:rsidR="00675B35" w:rsidRPr="00675B35" w:rsidRDefault="00675B35" w:rsidP="00675B35">
      <w:r w:rsidRPr="00675B35">
        <w:t>Estas muestras fueron sometidas a examen histopatológico para evaluar lesiones microscópicas.</w:t>
      </w:r>
    </w:p>
    <w:p w14:paraId="50508674" w14:textId="77777777" w:rsidR="00675B35" w:rsidRPr="00675B35" w:rsidRDefault="00675B35" w:rsidP="00675B35">
      <w:r w:rsidRPr="00675B35">
        <w:t>Los pollos restantes fueron evaluados según variables de rendimiento productivo.</w:t>
      </w:r>
    </w:p>
    <w:p w14:paraId="3C42E08A" w14:textId="77777777" w:rsidR="00675B35" w:rsidRPr="00675B35" w:rsidRDefault="00675B35" w:rsidP="00675B35">
      <w:r w:rsidRPr="00675B35">
        <w:pict w14:anchorId="5D5A3AE9">
          <v:rect id="_x0000_i1202" style="width:0;height:1.5pt" o:hralign="center" o:hrstd="t" o:hr="t" fillcolor="#a0a0a0" stroked="f"/>
        </w:pict>
      </w:r>
    </w:p>
    <w:p w14:paraId="6CACE426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Análisis estadístico</w:t>
      </w:r>
    </w:p>
    <w:p w14:paraId="3FB973BA" w14:textId="77777777" w:rsidR="00675B35" w:rsidRPr="00675B35" w:rsidRDefault="00675B35" w:rsidP="00675B35">
      <w:r w:rsidRPr="00675B35">
        <w:t>Se utilizó análisis de varianza de una vía mediante el procedimiento de modelos lineales generales del software SAS.</w:t>
      </w:r>
    </w:p>
    <w:p w14:paraId="48996C07" w14:textId="77777777" w:rsidR="00675B35" w:rsidRPr="00675B35" w:rsidRDefault="00675B35" w:rsidP="00675B35">
      <w:r w:rsidRPr="00675B35">
        <w:t xml:space="preserve">El factor principal fue la suplementación con </w:t>
      </w:r>
      <w:proofErr w:type="spellStart"/>
      <w:r w:rsidRPr="00675B35">
        <w:t>Mentofin</w:t>
      </w:r>
      <w:proofErr w:type="spellEnd"/>
      <w:r w:rsidRPr="00675B35">
        <w:t xml:space="preserve"> como efecto medio.</w:t>
      </w:r>
    </w:p>
    <w:p w14:paraId="40D230FE" w14:textId="77777777" w:rsidR="00675B35" w:rsidRPr="00675B35" w:rsidRDefault="00675B35" w:rsidP="00675B35">
      <w:r w:rsidRPr="00675B35">
        <w:t>Los valores medios fueron evaluados mediante la prueba de rangos múltiples de Duncan.</w:t>
      </w:r>
    </w:p>
    <w:p w14:paraId="5AAE620E" w14:textId="77777777" w:rsidR="00675B35" w:rsidRPr="00675B35" w:rsidRDefault="00675B35" w:rsidP="00675B35">
      <w:r w:rsidRPr="00675B35">
        <w:t xml:space="preserve">La significancia estadística se consideró con </w:t>
      </w:r>
      <w:r w:rsidRPr="00675B35">
        <w:rPr>
          <w:b/>
          <w:bCs/>
        </w:rPr>
        <w:t>P≤0.05</w:t>
      </w:r>
      <w:r w:rsidRPr="00675B35">
        <w:t>.</w:t>
      </w:r>
    </w:p>
    <w:p w14:paraId="6EF48E7F" w14:textId="77777777" w:rsidR="00675B35" w:rsidRPr="00675B35" w:rsidRDefault="00675B35" w:rsidP="00675B35">
      <w:r w:rsidRPr="00675B35">
        <w:pict w14:anchorId="6992E325">
          <v:rect id="_x0000_i1203" style="width:0;height:1.5pt" o:hralign="center" o:hrstd="t" o:hr="t" fillcolor="#a0a0a0" stroked="f"/>
        </w:pict>
      </w:r>
    </w:p>
    <w:p w14:paraId="370B8F0E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Resultados</w:t>
      </w:r>
    </w:p>
    <w:p w14:paraId="517BDBBC" w14:textId="77777777" w:rsidR="00675B35" w:rsidRPr="00675B35" w:rsidRDefault="00675B35" w:rsidP="00675B35">
      <w:r w:rsidRPr="00675B35">
        <w:t xml:space="preserve">Se observó una alta tasa de supervivencia, </w:t>
      </w:r>
      <w:r w:rsidRPr="00675B35">
        <w:rPr>
          <w:b/>
          <w:bCs/>
        </w:rPr>
        <w:t>100%</w:t>
      </w:r>
      <w:r w:rsidRPr="00675B35">
        <w:t>, en el grupo control negativo tratado, vacunado y no desafiado.</w:t>
      </w:r>
    </w:p>
    <w:p w14:paraId="17A9985C" w14:textId="77777777" w:rsidR="00675B35" w:rsidRPr="00675B35" w:rsidRDefault="00675B35" w:rsidP="00675B35">
      <w:r w:rsidRPr="00675B35">
        <w:t xml:space="preserve">En cambio, se registró </w:t>
      </w:r>
      <w:r w:rsidRPr="00675B35">
        <w:rPr>
          <w:b/>
          <w:bCs/>
        </w:rPr>
        <w:t>100% de mortalidad</w:t>
      </w:r>
      <w:r w:rsidRPr="00675B35">
        <w:t xml:space="preserve"> en el grupo control positivo no tratado, no vacunado y desafiado.</w:t>
      </w:r>
    </w:p>
    <w:p w14:paraId="6046CBD3" w14:textId="77777777" w:rsidR="00675B35" w:rsidRPr="00675B35" w:rsidRDefault="00675B35" w:rsidP="00675B35">
      <w:r w:rsidRPr="00675B35">
        <w:t xml:space="preserve">El uso conjunto de aceites volátiles con vacunación contra Newcastle en el grupo 3, tratado, vacunado y desafiado, produjo los mejores resultados de protección frente al desafío con </w:t>
      </w:r>
      <w:proofErr w:type="spellStart"/>
      <w:r w:rsidRPr="00675B35">
        <w:t>vVND</w:t>
      </w:r>
      <w:proofErr w:type="spellEnd"/>
      <w:r w:rsidRPr="00675B35">
        <w:t xml:space="preserve">, alcanzando </w:t>
      </w:r>
      <w:r w:rsidRPr="00675B35">
        <w:rPr>
          <w:b/>
          <w:bCs/>
        </w:rPr>
        <w:t>80% de protección</w:t>
      </w:r>
      <w:r w:rsidRPr="00675B35">
        <w:t>.</w:t>
      </w:r>
    </w:p>
    <w:p w14:paraId="170645A8" w14:textId="77777777" w:rsidR="00675B35" w:rsidRPr="00675B35" w:rsidRDefault="00675B35" w:rsidP="00675B35">
      <w:r w:rsidRPr="00675B35">
        <w:t xml:space="preserve">La tasa de supervivencia frente al desafío con </w:t>
      </w:r>
      <w:proofErr w:type="spellStart"/>
      <w:r w:rsidRPr="00675B35">
        <w:t>vVND</w:t>
      </w:r>
      <w:proofErr w:type="spellEnd"/>
      <w:r w:rsidRPr="00675B35">
        <w:t xml:space="preserve"> fue:</w:t>
      </w:r>
    </w:p>
    <w:p w14:paraId="66AAF600" w14:textId="77777777" w:rsidR="00675B35" w:rsidRPr="00675B35" w:rsidRDefault="00675B35" w:rsidP="00675B35">
      <w:pPr>
        <w:numPr>
          <w:ilvl w:val="0"/>
          <w:numId w:val="6"/>
        </w:numPr>
      </w:pPr>
      <w:r w:rsidRPr="00675B35">
        <w:t xml:space="preserve">Grupo 1, tratado/no vacunado/desafiado: </w:t>
      </w:r>
      <w:r w:rsidRPr="00675B35">
        <w:rPr>
          <w:b/>
          <w:bCs/>
        </w:rPr>
        <w:t>18.33%</w:t>
      </w:r>
      <w:r w:rsidRPr="00675B35">
        <w:t xml:space="preserve"> </w:t>
      </w:r>
    </w:p>
    <w:p w14:paraId="47AC5224" w14:textId="77777777" w:rsidR="00675B35" w:rsidRPr="00675B35" w:rsidRDefault="00675B35" w:rsidP="00675B35">
      <w:pPr>
        <w:numPr>
          <w:ilvl w:val="0"/>
          <w:numId w:val="6"/>
        </w:numPr>
      </w:pPr>
      <w:r w:rsidRPr="00675B35">
        <w:t xml:space="preserve">Grupo 2, no tratado/vacunado/desafiado: </w:t>
      </w:r>
      <w:r w:rsidRPr="00675B35">
        <w:rPr>
          <w:b/>
          <w:bCs/>
        </w:rPr>
        <w:t>61.67%</w:t>
      </w:r>
      <w:r w:rsidRPr="00675B35">
        <w:t xml:space="preserve"> </w:t>
      </w:r>
    </w:p>
    <w:p w14:paraId="38D7F762" w14:textId="77777777" w:rsidR="00675B35" w:rsidRPr="00675B35" w:rsidRDefault="00675B35" w:rsidP="00675B35">
      <w:pPr>
        <w:numPr>
          <w:ilvl w:val="0"/>
          <w:numId w:val="6"/>
        </w:numPr>
      </w:pPr>
      <w:r w:rsidRPr="00675B35">
        <w:t xml:space="preserve">Grupo 3, tratado/vacunado/desafiado: </w:t>
      </w:r>
      <w:r w:rsidRPr="00675B35">
        <w:rPr>
          <w:b/>
          <w:bCs/>
        </w:rPr>
        <w:t>80%</w:t>
      </w:r>
      <w:r w:rsidRPr="00675B35">
        <w:t xml:space="preserve"> </w:t>
      </w:r>
    </w:p>
    <w:p w14:paraId="503A4F4E" w14:textId="77777777" w:rsidR="00675B35" w:rsidRPr="00675B35" w:rsidRDefault="00675B35" w:rsidP="00675B35">
      <w:pPr>
        <w:numPr>
          <w:ilvl w:val="0"/>
          <w:numId w:val="6"/>
        </w:numPr>
      </w:pPr>
      <w:r w:rsidRPr="00675B35">
        <w:lastRenderedPageBreak/>
        <w:t xml:space="preserve">Grupo 4, no tratado/no vacunado/desafiado: </w:t>
      </w:r>
      <w:r w:rsidRPr="00675B35">
        <w:rPr>
          <w:b/>
          <w:bCs/>
        </w:rPr>
        <w:t>0%</w:t>
      </w:r>
      <w:r w:rsidRPr="00675B35">
        <w:t xml:space="preserve"> </w:t>
      </w:r>
    </w:p>
    <w:p w14:paraId="680141F8" w14:textId="77777777" w:rsidR="00675B35" w:rsidRPr="00675B35" w:rsidRDefault="00675B35" w:rsidP="00675B35">
      <w:pPr>
        <w:numPr>
          <w:ilvl w:val="0"/>
          <w:numId w:val="6"/>
        </w:numPr>
      </w:pPr>
      <w:r w:rsidRPr="00675B35">
        <w:t xml:space="preserve">Grupo 5, tratado/vacunado/no desafiado: </w:t>
      </w:r>
      <w:r w:rsidRPr="00675B35">
        <w:rPr>
          <w:b/>
          <w:bCs/>
        </w:rPr>
        <w:t>100%</w:t>
      </w:r>
      <w:r w:rsidRPr="00675B35">
        <w:t xml:space="preserve"> </w:t>
      </w:r>
    </w:p>
    <w:p w14:paraId="134CB0BF" w14:textId="77777777" w:rsidR="00675B35" w:rsidRPr="00675B35" w:rsidRDefault="00675B35" w:rsidP="00675B35">
      <w:r w:rsidRPr="00675B35">
        <w:t>La puntuación de lesiones post mortem varió entre los grupos y fue mayor en el grupo 4, que fue el grupo no tratado, no vacunado y desafiado.</w:t>
      </w:r>
    </w:p>
    <w:p w14:paraId="00254736" w14:textId="77777777" w:rsidR="00675B35" w:rsidRPr="00675B35" w:rsidRDefault="00675B35" w:rsidP="00675B35">
      <w:r w:rsidRPr="00675B35">
        <w:t>La suplementación con aceites esenciales mejoró significativamente los parámetros de rendimiento, especialmente peso corporal e índice de conversión alimenticia.</w:t>
      </w:r>
    </w:p>
    <w:p w14:paraId="3129A275" w14:textId="77777777" w:rsidR="00675B35" w:rsidRPr="00675B35" w:rsidRDefault="00675B35" w:rsidP="00675B35">
      <w:r w:rsidRPr="00675B35">
        <w:pict w14:anchorId="4320EEDD">
          <v:rect id="_x0000_i1204" style="width:0;height:1.5pt" o:hralign="center" o:hrstd="t" o:hr="t" fillcolor="#a0a0a0" stroked="f"/>
        </w:pict>
      </w:r>
    </w:p>
    <w:p w14:paraId="254A330E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Resultados inmunológicos</w:t>
      </w:r>
    </w:p>
    <w:p w14:paraId="2A956C11" w14:textId="77777777" w:rsidR="00675B35" w:rsidRPr="00675B35" w:rsidRDefault="00675B35" w:rsidP="00675B35">
      <w:r w:rsidRPr="00675B35">
        <w:t>Los títulos medios de ELISA fueron significativamente más altos en todos los intervalos evaluados en los grupos vacunados contra Newcastle y tratados con aceites volátiles, grupos 3 y 5.</w:t>
      </w:r>
    </w:p>
    <w:p w14:paraId="415F82B2" w14:textId="77777777" w:rsidR="00675B35" w:rsidRPr="00675B35" w:rsidRDefault="00675B35" w:rsidP="00675B35">
      <w:r w:rsidRPr="00675B35">
        <w:t>También se observaron títulos superiores en el grupo 1, no vacunado pero tratado con aceites volátiles, en comparación con el grupo control positivo 4.</w:t>
      </w:r>
    </w:p>
    <w:p w14:paraId="0825BB30" w14:textId="77777777" w:rsidR="00675B35" w:rsidRPr="00675B35" w:rsidRDefault="00675B35" w:rsidP="00675B35">
      <w:r w:rsidRPr="00675B35">
        <w:t>Los títulos HI de los grupos vacunados y tratados con aceites esenciales, grupos 3 y 5, mostraron un aumento significativo en comparación con los grupos 1 y 4 en todos los intervalos estudiados.</w:t>
      </w:r>
    </w:p>
    <w:p w14:paraId="2A8ACFB8" w14:textId="77777777" w:rsidR="00675B35" w:rsidRPr="00675B35" w:rsidRDefault="00675B35" w:rsidP="00675B35">
      <w:r w:rsidRPr="00675B35">
        <w:pict w14:anchorId="617867C1">
          <v:rect id="_x0000_i1205" style="width:0;height:1.5pt" o:hralign="center" o:hrstd="t" o:hr="t" fillcolor="#a0a0a0" stroked="f"/>
        </w:pict>
      </w:r>
    </w:p>
    <w:p w14:paraId="2A4F90EC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Hallazgos histopatológicos</w:t>
      </w:r>
    </w:p>
    <w:p w14:paraId="497787B9" w14:textId="77777777" w:rsidR="00675B35" w:rsidRPr="00675B35" w:rsidRDefault="00675B35" w:rsidP="00675B35">
      <w:r w:rsidRPr="00675B35">
        <w:t>No se detectaron lesiones histopatológicas evidentes en el grupo control negativo 5, tratado, vacunado y no desafiado.</w:t>
      </w:r>
    </w:p>
    <w:p w14:paraId="099EA3D2" w14:textId="77777777" w:rsidR="00675B35" w:rsidRPr="00675B35" w:rsidRDefault="00675B35" w:rsidP="00675B35">
      <w:r w:rsidRPr="00675B35">
        <w:t>Además, las aves de este grupo mostraron aumento del tamaño folicular en las tonsilas cecales, con activación linfoblástica de los elementos foliculares.</w:t>
      </w:r>
    </w:p>
    <w:p w14:paraId="25FF5A13" w14:textId="77777777" w:rsidR="00675B35" w:rsidRPr="00675B35" w:rsidRDefault="00675B35" w:rsidP="00675B35">
      <w:r w:rsidRPr="00675B35">
        <w:pict w14:anchorId="63313E4A">
          <v:rect id="_x0000_i1206" style="width:0;height:1.5pt" o:hralign="center" o:hrstd="t" o:hr="t" fillcolor="#a0a0a0" stroked="f"/>
        </w:pict>
      </w:r>
    </w:p>
    <w:p w14:paraId="502F59E0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Lesiones en tráquea</w:t>
      </w:r>
    </w:p>
    <w:p w14:paraId="4397D173" w14:textId="77777777" w:rsidR="00675B35" w:rsidRPr="00675B35" w:rsidRDefault="00675B35" w:rsidP="00675B35">
      <w:r w:rsidRPr="00675B35">
        <w:t>Las lesiones microscópicas traqueales fueron más severas en el grupo 4, no tratado, no vacunado y desafiado.</w:t>
      </w:r>
    </w:p>
    <w:p w14:paraId="324AF1E9" w14:textId="77777777" w:rsidR="00675B35" w:rsidRPr="00675B35" w:rsidRDefault="00675B35" w:rsidP="00675B35">
      <w:r w:rsidRPr="00675B35">
        <w:t>Estas lesiones incluyeron:</w:t>
      </w:r>
    </w:p>
    <w:p w14:paraId="002F35EA" w14:textId="77777777" w:rsidR="00675B35" w:rsidRPr="00675B35" w:rsidRDefault="00675B35" w:rsidP="00675B35">
      <w:pPr>
        <w:numPr>
          <w:ilvl w:val="0"/>
          <w:numId w:val="7"/>
        </w:numPr>
      </w:pPr>
      <w:proofErr w:type="spellStart"/>
      <w:r w:rsidRPr="00675B35">
        <w:t>Deciliación</w:t>
      </w:r>
      <w:proofErr w:type="spellEnd"/>
      <w:r w:rsidRPr="00675B35">
        <w:t xml:space="preserve"> marcada. </w:t>
      </w:r>
    </w:p>
    <w:p w14:paraId="2E340350" w14:textId="77777777" w:rsidR="00675B35" w:rsidRPr="00675B35" w:rsidRDefault="00675B35" w:rsidP="00675B35">
      <w:pPr>
        <w:numPr>
          <w:ilvl w:val="0"/>
          <w:numId w:val="7"/>
        </w:numPr>
      </w:pPr>
      <w:r w:rsidRPr="00675B35">
        <w:t xml:space="preserve">Necrosis del epitelio traqueal. </w:t>
      </w:r>
    </w:p>
    <w:p w14:paraId="1C6FDB79" w14:textId="77777777" w:rsidR="00675B35" w:rsidRPr="00675B35" w:rsidRDefault="00675B35" w:rsidP="00675B35">
      <w:pPr>
        <w:numPr>
          <w:ilvl w:val="0"/>
          <w:numId w:val="7"/>
        </w:numPr>
      </w:pPr>
      <w:r w:rsidRPr="00675B35">
        <w:t xml:space="preserve">Proliferación hiperplásica focal del epitelio. </w:t>
      </w:r>
    </w:p>
    <w:p w14:paraId="0A4376CB" w14:textId="77777777" w:rsidR="00675B35" w:rsidRPr="00675B35" w:rsidRDefault="00675B35" w:rsidP="00675B35">
      <w:pPr>
        <w:numPr>
          <w:ilvl w:val="0"/>
          <w:numId w:val="7"/>
        </w:numPr>
      </w:pPr>
      <w:r w:rsidRPr="00675B35">
        <w:t xml:space="preserve">Infiltración linfocítica intensa. </w:t>
      </w:r>
    </w:p>
    <w:p w14:paraId="5931084F" w14:textId="77777777" w:rsidR="00675B35" w:rsidRPr="00675B35" w:rsidRDefault="00675B35" w:rsidP="00675B35">
      <w:pPr>
        <w:numPr>
          <w:ilvl w:val="0"/>
          <w:numId w:val="7"/>
        </w:numPr>
      </w:pPr>
      <w:r w:rsidRPr="00675B35">
        <w:t xml:space="preserve">Congestión. </w:t>
      </w:r>
    </w:p>
    <w:p w14:paraId="4918B23D" w14:textId="77777777" w:rsidR="00675B35" w:rsidRPr="00675B35" w:rsidRDefault="00675B35" w:rsidP="00675B35">
      <w:pPr>
        <w:numPr>
          <w:ilvl w:val="0"/>
          <w:numId w:val="7"/>
        </w:numPr>
      </w:pPr>
      <w:r w:rsidRPr="00675B35">
        <w:t xml:space="preserve">Hemorragia. </w:t>
      </w:r>
    </w:p>
    <w:p w14:paraId="537AAB72" w14:textId="77777777" w:rsidR="00675B35" w:rsidRPr="00675B35" w:rsidRDefault="00675B35" w:rsidP="00675B35">
      <w:pPr>
        <w:numPr>
          <w:ilvl w:val="0"/>
          <w:numId w:val="7"/>
        </w:numPr>
      </w:pPr>
      <w:r w:rsidRPr="00675B35">
        <w:t xml:space="preserve">Edema severo en la lámina propia. </w:t>
      </w:r>
    </w:p>
    <w:p w14:paraId="241013BA" w14:textId="77777777" w:rsidR="00675B35" w:rsidRPr="00675B35" w:rsidRDefault="00675B35" w:rsidP="00675B35">
      <w:r w:rsidRPr="00675B35">
        <w:t>Las lesiones fueron menos severas en el grupo 1 que en el grupo 2.</w:t>
      </w:r>
    </w:p>
    <w:p w14:paraId="17D17BD9" w14:textId="77777777" w:rsidR="00675B35" w:rsidRPr="00675B35" w:rsidRDefault="00675B35" w:rsidP="00675B35">
      <w:r w:rsidRPr="00675B35">
        <w:lastRenderedPageBreak/>
        <w:t>En el grupo 3, tratado, vacunado y desafiado, las lesiones se caracterizaron por hiperplasia de células caliciformes del epitelio traqueal, infiltración linfocítica y dilatación de capilares sanguíneos en la lámina propia.</w:t>
      </w:r>
    </w:p>
    <w:p w14:paraId="5A88ECED" w14:textId="77777777" w:rsidR="00675B35" w:rsidRPr="00675B35" w:rsidRDefault="00675B35" w:rsidP="00675B35">
      <w:r w:rsidRPr="00675B35">
        <w:pict w14:anchorId="732F7B4A">
          <v:rect id="_x0000_i1207" style="width:0;height:1.5pt" o:hralign="center" o:hrstd="t" o:hr="t" fillcolor="#a0a0a0" stroked="f"/>
        </w:pict>
      </w:r>
    </w:p>
    <w:p w14:paraId="51F629AC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Lesiones en pulmones</w:t>
      </w:r>
    </w:p>
    <w:p w14:paraId="6BA982B3" w14:textId="77777777" w:rsidR="00675B35" w:rsidRPr="00675B35" w:rsidRDefault="00675B35" w:rsidP="00675B35">
      <w:r w:rsidRPr="00675B35">
        <w:t>En el grupo 1 se observaron lesiones pulmonares leves, como:</w:t>
      </w:r>
    </w:p>
    <w:p w14:paraId="6107F759" w14:textId="77777777" w:rsidR="00675B35" w:rsidRPr="00675B35" w:rsidRDefault="00675B35" w:rsidP="00675B35">
      <w:pPr>
        <w:numPr>
          <w:ilvl w:val="0"/>
          <w:numId w:val="8"/>
        </w:numPr>
      </w:pPr>
      <w:r w:rsidRPr="00675B35">
        <w:t xml:space="preserve">Edema interlobular e intersticial leve. </w:t>
      </w:r>
    </w:p>
    <w:p w14:paraId="09A907F2" w14:textId="77777777" w:rsidR="00675B35" w:rsidRPr="00675B35" w:rsidRDefault="00675B35" w:rsidP="00675B35">
      <w:pPr>
        <w:numPr>
          <w:ilvl w:val="0"/>
          <w:numId w:val="8"/>
        </w:numPr>
      </w:pPr>
      <w:r w:rsidRPr="00675B35">
        <w:t xml:space="preserve">Degeneración del epitelio de los bronquios secundarios. </w:t>
      </w:r>
    </w:p>
    <w:p w14:paraId="34A296FF" w14:textId="77777777" w:rsidR="00675B35" w:rsidRPr="00675B35" w:rsidRDefault="00675B35" w:rsidP="00675B35">
      <w:pPr>
        <w:numPr>
          <w:ilvl w:val="0"/>
          <w:numId w:val="8"/>
        </w:numPr>
      </w:pPr>
      <w:r w:rsidRPr="00675B35">
        <w:t xml:space="preserve">Congestión. </w:t>
      </w:r>
    </w:p>
    <w:p w14:paraId="5C87846F" w14:textId="77777777" w:rsidR="00675B35" w:rsidRPr="00675B35" w:rsidRDefault="00675B35" w:rsidP="00675B35">
      <w:pPr>
        <w:numPr>
          <w:ilvl w:val="0"/>
          <w:numId w:val="8"/>
        </w:numPr>
      </w:pPr>
      <w:r w:rsidRPr="00675B35">
        <w:t xml:space="preserve">Aumento de linfocitos en la lámina propia. </w:t>
      </w:r>
    </w:p>
    <w:p w14:paraId="55F08152" w14:textId="77777777" w:rsidR="00675B35" w:rsidRPr="00675B35" w:rsidRDefault="00675B35" w:rsidP="00675B35">
      <w:pPr>
        <w:numPr>
          <w:ilvl w:val="0"/>
          <w:numId w:val="8"/>
        </w:numPr>
      </w:pPr>
      <w:r w:rsidRPr="00675B35">
        <w:t xml:space="preserve">Edema perivascular e intersticial. </w:t>
      </w:r>
    </w:p>
    <w:p w14:paraId="069E0F51" w14:textId="77777777" w:rsidR="00675B35" w:rsidRPr="00675B35" w:rsidRDefault="00675B35" w:rsidP="00675B35">
      <w:r w:rsidRPr="00675B35">
        <w:t>En el grupo 2 se observaron lesiones más avanzadas que en el grupo 1, caracterizadas por:</w:t>
      </w:r>
    </w:p>
    <w:p w14:paraId="78BE58CF" w14:textId="77777777" w:rsidR="00675B35" w:rsidRPr="00675B35" w:rsidRDefault="00675B35" w:rsidP="00675B35">
      <w:pPr>
        <w:numPr>
          <w:ilvl w:val="0"/>
          <w:numId w:val="9"/>
        </w:numPr>
      </w:pPr>
      <w:r w:rsidRPr="00675B35">
        <w:t xml:space="preserve">Mayor edema intersticial y perivascular. </w:t>
      </w:r>
    </w:p>
    <w:p w14:paraId="3961FADB" w14:textId="77777777" w:rsidR="00675B35" w:rsidRPr="00675B35" w:rsidRDefault="00675B35" w:rsidP="00675B35">
      <w:pPr>
        <w:numPr>
          <w:ilvl w:val="0"/>
          <w:numId w:val="9"/>
        </w:numPr>
      </w:pPr>
      <w:r w:rsidRPr="00675B35">
        <w:t xml:space="preserve">Infiltración linfocítica en bronquios secundarios y </w:t>
      </w:r>
      <w:proofErr w:type="spellStart"/>
      <w:r w:rsidRPr="00675B35">
        <w:t>parabronquios</w:t>
      </w:r>
      <w:proofErr w:type="spellEnd"/>
      <w:r w:rsidRPr="00675B35">
        <w:t xml:space="preserve">. </w:t>
      </w:r>
    </w:p>
    <w:p w14:paraId="7EE16E8F" w14:textId="77777777" w:rsidR="00675B35" w:rsidRPr="00675B35" w:rsidRDefault="00675B35" w:rsidP="00675B35">
      <w:pPr>
        <w:numPr>
          <w:ilvl w:val="0"/>
          <w:numId w:val="9"/>
        </w:numPr>
      </w:pPr>
      <w:r w:rsidRPr="00675B35">
        <w:t xml:space="preserve">Extensión hacia infundíbulos y capilares aéreos. </w:t>
      </w:r>
    </w:p>
    <w:p w14:paraId="295B5D56" w14:textId="77777777" w:rsidR="00675B35" w:rsidRPr="00675B35" w:rsidRDefault="00675B35" w:rsidP="00675B35">
      <w:pPr>
        <w:numPr>
          <w:ilvl w:val="0"/>
          <w:numId w:val="9"/>
        </w:numPr>
      </w:pPr>
      <w:r w:rsidRPr="00675B35">
        <w:t xml:space="preserve">Congestión de capilares sanguíneos. </w:t>
      </w:r>
    </w:p>
    <w:p w14:paraId="3118699C" w14:textId="77777777" w:rsidR="00675B35" w:rsidRPr="00675B35" w:rsidRDefault="00675B35" w:rsidP="00675B35">
      <w:r w:rsidRPr="00675B35">
        <w:t xml:space="preserve">En el grupo 3, las lesiones fueron muy leves y se limitaron a edema intersticial perivascular. No se detectaron otras lesiones en </w:t>
      </w:r>
      <w:proofErr w:type="spellStart"/>
      <w:r w:rsidRPr="00675B35">
        <w:t>parabronquios</w:t>
      </w:r>
      <w:proofErr w:type="spellEnd"/>
      <w:r w:rsidRPr="00675B35">
        <w:t xml:space="preserve"> o capilares aéreos.</w:t>
      </w:r>
    </w:p>
    <w:p w14:paraId="10985673" w14:textId="77777777" w:rsidR="00675B35" w:rsidRPr="00675B35" w:rsidRDefault="00675B35" w:rsidP="00675B35">
      <w:r w:rsidRPr="00675B35">
        <w:t>En el grupo 4 se registraron lesiones severas y significativas, caracterizadas por:</w:t>
      </w:r>
    </w:p>
    <w:p w14:paraId="3F3925E9" w14:textId="77777777" w:rsidR="00675B35" w:rsidRPr="00675B35" w:rsidRDefault="00675B35" w:rsidP="00675B35">
      <w:pPr>
        <w:numPr>
          <w:ilvl w:val="0"/>
          <w:numId w:val="10"/>
        </w:numPr>
      </w:pPr>
      <w:r w:rsidRPr="00675B35">
        <w:t xml:space="preserve">Reacción inflamatoria y necrótica severa. </w:t>
      </w:r>
    </w:p>
    <w:p w14:paraId="0E7034F6" w14:textId="77777777" w:rsidR="00675B35" w:rsidRPr="00675B35" w:rsidRDefault="00675B35" w:rsidP="00675B35">
      <w:pPr>
        <w:numPr>
          <w:ilvl w:val="0"/>
          <w:numId w:val="10"/>
        </w:numPr>
      </w:pPr>
      <w:r w:rsidRPr="00675B35">
        <w:t xml:space="preserve">Afectación de bronquios secundarios, </w:t>
      </w:r>
      <w:proofErr w:type="spellStart"/>
      <w:r w:rsidRPr="00675B35">
        <w:t>parabronquios</w:t>
      </w:r>
      <w:proofErr w:type="spellEnd"/>
      <w:r w:rsidRPr="00675B35">
        <w:t xml:space="preserve"> y capilares aéreos. </w:t>
      </w:r>
    </w:p>
    <w:p w14:paraId="01AC88A1" w14:textId="77777777" w:rsidR="00675B35" w:rsidRPr="00675B35" w:rsidRDefault="00675B35" w:rsidP="00675B35">
      <w:pPr>
        <w:numPr>
          <w:ilvl w:val="0"/>
          <w:numId w:val="10"/>
        </w:numPr>
      </w:pPr>
      <w:r w:rsidRPr="00675B35">
        <w:t xml:space="preserve">Infiltración de linfocitos y </w:t>
      </w:r>
      <w:proofErr w:type="spellStart"/>
      <w:r w:rsidRPr="00675B35">
        <w:t>heterófilos</w:t>
      </w:r>
      <w:proofErr w:type="spellEnd"/>
      <w:r w:rsidRPr="00675B35">
        <w:t xml:space="preserve">. </w:t>
      </w:r>
    </w:p>
    <w:p w14:paraId="530231FF" w14:textId="77777777" w:rsidR="00675B35" w:rsidRPr="00675B35" w:rsidRDefault="00675B35" w:rsidP="00675B35">
      <w:pPr>
        <w:numPr>
          <w:ilvl w:val="0"/>
          <w:numId w:val="10"/>
        </w:numPr>
      </w:pPr>
      <w:r w:rsidRPr="00675B35">
        <w:t xml:space="preserve">Exudado proteico en la luz de los capilares aéreos. </w:t>
      </w:r>
    </w:p>
    <w:p w14:paraId="1644F59C" w14:textId="77777777" w:rsidR="00675B35" w:rsidRPr="00675B35" w:rsidRDefault="00675B35" w:rsidP="00675B35">
      <w:pPr>
        <w:numPr>
          <w:ilvl w:val="0"/>
          <w:numId w:val="10"/>
        </w:numPr>
      </w:pPr>
      <w:r w:rsidRPr="00675B35">
        <w:t xml:space="preserve">Hemorragia focal. </w:t>
      </w:r>
    </w:p>
    <w:p w14:paraId="6E8F105A" w14:textId="77777777" w:rsidR="00675B35" w:rsidRPr="00675B35" w:rsidRDefault="00675B35" w:rsidP="00675B35">
      <w:r w:rsidRPr="00675B35">
        <w:pict w14:anchorId="7F99C0FD">
          <v:rect id="_x0000_i1208" style="width:0;height:1.5pt" o:hralign="center" o:hrstd="t" o:hr="t" fillcolor="#a0a0a0" stroked="f"/>
        </w:pict>
      </w:r>
    </w:p>
    <w:p w14:paraId="01732CC2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Lesiones en tonsilas cecales</w:t>
      </w:r>
    </w:p>
    <w:p w14:paraId="3A88BCDC" w14:textId="77777777" w:rsidR="00675B35" w:rsidRPr="00675B35" w:rsidRDefault="00675B35" w:rsidP="00675B35">
      <w:r w:rsidRPr="00675B35">
        <w:t>Las lesiones microscópicas de las tonsilas cecales se caracterizaron por:</w:t>
      </w:r>
    </w:p>
    <w:p w14:paraId="2AC2081C" w14:textId="77777777" w:rsidR="00675B35" w:rsidRPr="00675B35" w:rsidRDefault="00675B35" w:rsidP="00675B35">
      <w:pPr>
        <w:numPr>
          <w:ilvl w:val="0"/>
          <w:numId w:val="11"/>
        </w:numPr>
      </w:pPr>
      <w:r w:rsidRPr="00675B35">
        <w:t xml:space="preserve">Depleción linfoide. </w:t>
      </w:r>
    </w:p>
    <w:p w14:paraId="70BDE459" w14:textId="77777777" w:rsidR="00675B35" w:rsidRPr="00675B35" w:rsidRDefault="00675B35" w:rsidP="00675B35">
      <w:pPr>
        <w:numPr>
          <w:ilvl w:val="0"/>
          <w:numId w:val="11"/>
        </w:numPr>
      </w:pPr>
      <w:r w:rsidRPr="00675B35">
        <w:t xml:space="preserve">Necrosis de elementos linfoides de los folículos. </w:t>
      </w:r>
    </w:p>
    <w:p w14:paraId="3FEE23CB" w14:textId="77777777" w:rsidR="00675B35" w:rsidRPr="00675B35" w:rsidRDefault="00675B35" w:rsidP="00675B35">
      <w:r w:rsidRPr="00675B35">
        <w:t>Las lesiones fueron significativamente más severas en el grupo 4.</w:t>
      </w:r>
    </w:p>
    <w:p w14:paraId="2DDFE728" w14:textId="77777777" w:rsidR="00675B35" w:rsidRPr="00675B35" w:rsidRDefault="00675B35" w:rsidP="00675B35">
      <w:r w:rsidRPr="00675B35">
        <w:t>En el grupo 1 fueron menores que en el grupo 2.</w:t>
      </w:r>
    </w:p>
    <w:p w14:paraId="01B3BD28" w14:textId="77777777" w:rsidR="00675B35" w:rsidRPr="00675B35" w:rsidRDefault="00675B35" w:rsidP="00675B35">
      <w:r w:rsidRPr="00675B35">
        <w:t>En el grupo 3, las lesiones fueron leves y se observó depleción linfocítica asociada con activación linfoblástica y aumento del tamaño folicular.</w:t>
      </w:r>
    </w:p>
    <w:p w14:paraId="676C4FEA" w14:textId="77777777" w:rsidR="00675B35" w:rsidRPr="00675B35" w:rsidRDefault="00675B35" w:rsidP="00675B35">
      <w:r w:rsidRPr="00675B35">
        <w:lastRenderedPageBreak/>
        <w:t xml:space="preserve">El grupo 4 presentó la peor puntuación total de lesiones microscópicas, con </w:t>
      </w:r>
      <w:r w:rsidRPr="00675B35">
        <w:rPr>
          <w:b/>
          <w:bCs/>
        </w:rPr>
        <w:t>34.25</w:t>
      </w:r>
      <w:r w:rsidRPr="00675B35">
        <w:t>, frente a los otros grupos desafiados, que tuvieron puntuaciones de:</w:t>
      </w:r>
    </w:p>
    <w:p w14:paraId="4142C08B" w14:textId="77777777" w:rsidR="00675B35" w:rsidRPr="00675B35" w:rsidRDefault="00675B35" w:rsidP="00675B35">
      <w:pPr>
        <w:numPr>
          <w:ilvl w:val="0"/>
          <w:numId w:val="12"/>
        </w:numPr>
      </w:pPr>
      <w:r w:rsidRPr="00675B35">
        <w:t xml:space="preserve">Grupo 1: </w:t>
      </w:r>
      <w:r w:rsidRPr="00675B35">
        <w:rPr>
          <w:b/>
          <w:bCs/>
        </w:rPr>
        <w:t>18.75</w:t>
      </w:r>
      <w:r w:rsidRPr="00675B35">
        <w:t xml:space="preserve"> </w:t>
      </w:r>
    </w:p>
    <w:p w14:paraId="38E15AA1" w14:textId="77777777" w:rsidR="00675B35" w:rsidRPr="00675B35" w:rsidRDefault="00675B35" w:rsidP="00675B35">
      <w:pPr>
        <w:numPr>
          <w:ilvl w:val="0"/>
          <w:numId w:val="12"/>
        </w:numPr>
      </w:pPr>
      <w:r w:rsidRPr="00675B35">
        <w:t xml:space="preserve">Grupo 2: </w:t>
      </w:r>
      <w:r w:rsidRPr="00675B35">
        <w:rPr>
          <w:b/>
          <w:bCs/>
        </w:rPr>
        <w:t>20.5</w:t>
      </w:r>
      <w:r w:rsidRPr="00675B35">
        <w:t xml:space="preserve"> </w:t>
      </w:r>
    </w:p>
    <w:p w14:paraId="385EACED" w14:textId="77777777" w:rsidR="00675B35" w:rsidRPr="00675B35" w:rsidRDefault="00675B35" w:rsidP="00675B35">
      <w:pPr>
        <w:numPr>
          <w:ilvl w:val="0"/>
          <w:numId w:val="12"/>
        </w:numPr>
      </w:pPr>
      <w:r w:rsidRPr="00675B35">
        <w:t xml:space="preserve">Grupo 3: </w:t>
      </w:r>
      <w:r w:rsidRPr="00675B35">
        <w:rPr>
          <w:b/>
          <w:bCs/>
        </w:rPr>
        <w:t>17.25</w:t>
      </w:r>
      <w:r w:rsidRPr="00675B35">
        <w:t xml:space="preserve"> </w:t>
      </w:r>
    </w:p>
    <w:p w14:paraId="231CE328" w14:textId="77777777" w:rsidR="00675B35" w:rsidRPr="00675B35" w:rsidRDefault="00675B35" w:rsidP="00675B35">
      <w:r w:rsidRPr="00675B35">
        <w:pict w14:anchorId="488D9488">
          <v:rect id="_x0000_i1209" style="width:0;height:1.5pt" o:hralign="center" o:hrstd="t" o:hr="t" fillcolor="#a0a0a0" stroked="f"/>
        </w:pict>
      </w:r>
    </w:p>
    <w:p w14:paraId="26432DF4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Discusión</w:t>
      </w:r>
    </w:p>
    <w:p w14:paraId="7A46BADC" w14:textId="77777777" w:rsidR="00675B35" w:rsidRPr="00675B35" w:rsidRDefault="00675B35" w:rsidP="00675B35">
      <w:r w:rsidRPr="00675B35">
        <w:t>La alta tasa de supervivencia, 100%, observada en el grupo control negativo tratado, vacunado y no desafiado indicó la seguridad de las vacunas contra Newcastle usadas y de la mezcla de aceites esenciales administrada.</w:t>
      </w:r>
    </w:p>
    <w:p w14:paraId="067B863B" w14:textId="77777777" w:rsidR="00675B35" w:rsidRPr="00675B35" w:rsidRDefault="00675B35" w:rsidP="00675B35">
      <w:r w:rsidRPr="00675B35">
        <w:t xml:space="preserve">Por otro lado, la tasa de supervivencia de 0% en el grupo control positivo no tratado, no vacunado y desafiado indicó la alta </w:t>
      </w:r>
      <w:proofErr w:type="spellStart"/>
      <w:r w:rsidRPr="00675B35">
        <w:t>velogenicidad</w:t>
      </w:r>
      <w:proofErr w:type="spellEnd"/>
      <w:r w:rsidRPr="00675B35">
        <w:t xml:space="preserve"> del virus de Newcastle utilizado.</w:t>
      </w:r>
    </w:p>
    <w:p w14:paraId="4BD94619" w14:textId="77777777" w:rsidR="00675B35" w:rsidRPr="00675B35" w:rsidRDefault="00675B35" w:rsidP="00675B35">
      <w:r w:rsidRPr="00675B35">
        <w:t>En los grupos de aves desafiadas, el efecto de la mezcla de aceites volátiles podría deberse a su actividad antiviral.</w:t>
      </w:r>
    </w:p>
    <w:p w14:paraId="6962FD8E" w14:textId="77777777" w:rsidR="00675B35" w:rsidRPr="00675B35" w:rsidRDefault="00675B35" w:rsidP="00675B35">
      <w:r w:rsidRPr="00675B35">
        <w:t xml:space="preserve">Este resultado confirma hallazgos previos sobre el efecto de los aceites esenciales de menta y eucalipto en infecciones concomitantes por ORT y virus </w:t>
      </w:r>
      <w:proofErr w:type="spellStart"/>
      <w:r w:rsidRPr="00675B35">
        <w:t>velogénico</w:t>
      </w:r>
      <w:proofErr w:type="spellEnd"/>
      <w:r w:rsidRPr="00675B35">
        <w:t xml:space="preserve"> de Newcastle en pollos de engorde.</w:t>
      </w:r>
    </w:p>
    <w:p w14:paraId="15A60D93" w14:textId="77777777" w:rsidR="00675B35" w:rsidRPr="00675B35" w:rsidRDefault="00675B35" w:rsidP="00675B35">
      <w:r w:rsidRPr="00675B35">
        <w:t xml:space="preserve">Los resultados también concuerdan con investigaciones que evaluaron el impacto de los aceites esenciales de eucalipto y menta sobre la modulación inmune y la producción en pollos desafiados con virus </w:t>
      </w:r>
      <w:proofErr w:type="spellStart"/>
      <w:r w:rsidRPr="00675B35">
        <w:t>velogénico</w:t>
      </w:r>
      <w:proofErr w:type="spellEnd"/>
      <w:r w:rsidRPr="00675B35">
        <w:t xml:space="preserve"> de Newcastle caracterizado molecularmente.</w:t>
      </w:r>
    </w:p>
    <w:p w14:paraId="1E6383D7" w14:textId="77777777" w:rsidR="00675B35" w:rsidRPr="00675B35" w:rsidRDefault="00675B35" w:rsidP="00675B35">
      <w:r w:rsidRPr="00675B35">
        <w:t>Los hallazgos del grupo 1 podrían explicarse porque esta mezcla posee un potente efecto inmunomodulador, lo que confirma investigaciones previas que señalan que los aceites esenciales de eucalipto y menta fortalecen tanto la respuesta inmune innata/celular como la respuesta humoral.</w:t>
      </w:r>
    </w:p>
    <w:p w14:paraId="6AC594DD" w14:textId="77777777" w:rsidR="00675B35" w:rsidRPr="00675B35" w:rsidRDefault="00675B35" w:rsidP="00675B35">
      <w:r w:rsidRPr="00675B35">
        <w:t xml:space="preserve">También se reportaron hallazgos similares en estudios donde los aceites esenciales de eucalipto y menta mejoraron la homogeneidad de la respuesta inmune y el rendimiento en pollos infectados con </w:t>
      </w:r>
      <w:proofErr w:type="spellStart"/>
      <w:r w:rsidRPr="00675B35">
        <w:rPr>
          <w:b/>
          <w:bCs/>
        </w:rPr>
        <w:t>Mycoplasma</w:t>
      </w:r>
      <w:proofErr w:type="spellEnd"/>
      <w:r w:rsidRPr="00675B35">
        <w:rPr>
          <w:b/>
          <w:bCs/>
        </w:rPr>
        <w:t xml:space="preserve"> </w:t>
      </w:r>
      <w:proofErr w:type="spellStart"/>
      <w:r w:rsidRPr="00675B35">
        <w:rPr>
          <w:b/>
          <w:bCs/>
        </w:rPr>
        <w:t>gallisepticum</w:t>
      </w:r>
      <w:proofErr w:type="spellEnd"/>
      <w:r w:rsidRPr="00675B35">
        <w:t xml:space="preserve"> y virus H9N2.</w:t>
      </w:r>
    </w:p>
    <w:p w14:paraId="38ECC03F" w14:textId="77777777" w:rsidR="00675B35" w:rsidRPr="00675B35" w:rsidRDefault="00675B35" w:rsidP="00675B35">
      <w:r w:rsidRPr="00675B35">
        <w:pict w14:anchorId="7A881186">
          <v:rect id="_x0000_i1210" style="width:0;height:1.5pt" o:hralign="center" o:hrstd="t" o:hr="t" fillcolor="#a0a0a0" stroked="f"/>
        </w:pict>
      </w:r>
    </w:p>
    <w:p w14:paraId="6D980255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Rendimiento productivo</w:t>
      </w:r>
    </w:p>
    <w:p w14:paraId="7B9E61B9" w14:textId="77777777" w:rsidR="00675B35" w:rsidRPr="00675B35" w:rsidRDefault="00675B35" w:rsidP="00675B35">
      <w:r w:rsidRPr="00675B35">
        <w:t>La suplementación con aceites esenciales mejoró significativamente los parámetros productivos, como el peso corporal y el índice de conversión alimenticia.</w:t>
      </w:r>
    </w:p>
    <w:p w14:paraId="0617F750" w14:textId="77777777" w:rsidR="00675B35" w:rsidRPr="00675B35" w:rsidRDefault="00675B35" w:rsidP="00675B35">
      <w:r w:rsidRPr="00675B35">
        <w:t>Estas variables se correlacionaron positivamente con el porcentaje de supervivencia.</w:t>
      </w:r>
    </w:p>
    <w:p w14:paraId="60776A56" w14:textId="77777777" w:rsidR="00675B35" w:rsidRPr="00675B35" w:rsidRDefault="00675B35" w:rsidP="00675B35">
      <w:r w:rsidRPr="00675B35">
        <w:t>Los peores parámetros se registraron en el grupo control positivo 4, no tratado, no vacunado y desafiado.</w:t>
      </w:r>
    </w:p>
    <w:p w14:paraId="603760DF" w14:textId="77777777" w:rsidR="00675B35" w:rsidRPr="00675B35" w:rsidRDefault="00675B35" w:rsidP="00675B35">
      <w:r w:rsidRPr="00675B35">
        <w:t>La mejora del rendimiento mediante suplementación con aceites esenciales ya había sido descrita por otros investigadores.</w:t>
      </w:r>
    </w:p>
    <w:p w14:paraId="478C3FFA" w14:textId="77777777" w:rsidR="00675B35" w:rsidRPr="00675B35" w:rsidRDefault="00675B35" w:rsidP="00675B35">
      <w:r w:rsidRPr="00675B35">
        <w:t>El posible modo de acción de los productos herbales podría estar relacionado con:</w:t>
      </w:r>
    </w:p>
    <w:p w14:paraId="6A7F220D" w14:textId="77777777" w:rsidR="00675B35" w:rsidRPr="00675B35" w:rsidRDefault="00675B35" w:rsidP="00675B35">
      <w:pPr>
        <w:numPr>
          <w:ilvl w:val="0"/>
          <w:numId w:val="13"/>
        </w:numPr>
      </w:pPr>
      <w:r w:rsidRPr="00675B35">
        <w:lastRenderedPageBreak/>
        <w:t xml:space="preserve">Propiedades antimicrobianas. </w:t>
      </w:r>
    </w:p>
    <w:p w14:paraId="2A4A2A76" w14:textId="77777777" w:rsidR="00675B35" w:rsidRPr="00675B35" w:rsidRDefault="00675B35" w:rsidP="00675B35">
      <w:pPr>
        <w:numPr>
          <w:ilvl w:val="0"/>
          <w:numId w:val="13"/>
        </w:numPr>
      </w:pPr>
      <w:r w:rsidRPr="00675B35">
        <w:t xml:space="preserve">Actividad antioxidante. </w:t>
      </w:r>
    </w:p>
    <w:p w14:paraId="7A4BAD42" w14:textId="77777777" w:rsidR="00675B35" w:rsidRPr="00675B35" w:rsidRDefault="00675B35" w:rsidP="00675B35">
      <w:pPr>
        <w:numPr>
          <w:ilvl w:val="0"/>
          <w:numId w:val="13"/>
        </w:numPr>
      </w:pPr>
      <w:r w:rsidRPr="00675B35">
        <w:t xml:space="preserve">Efecto antiinflamatorio. </w:t>
      </w:r>
    </w:p>
    <w:p w14:paraId="4442A640" w14:textId="77777777" w:rsidR="00675B35" w:rsidRPr="00675B35" w:rsidRDefault="00675B35" w:rsidP="00675B35">
      <w:r w:rsidRPr="00675B35">
        <w:pict w14:anchorId="51154601">
          <v:rect id="_x0000_i1211" style="width:0;height:1.5pt" o:hralign="center" o:hrstd="t" o:hr="t" fillcolor="#a0a0a0" stroked="f"/>
        </w:pict>
      </w:r>
    </w:p>
    <w:p w14:paraId="4BF0C708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Respuesta inmune</w:t>
      </w:r>
    </w:p>
    <w:p w14:paraId="6F105951" w14:textId="77777777" w:rsidR="00675B35" w:rsidRPr="00675B35" w:rsidRDefault="00675B35" w:rsidP="00675B35">
      <w:r w:rsidRPr="00675B35">
        <w:t>El estado inmune significativamente más alto en los grupos vacunados contra Newcastle y tratados con aceites volátiles, grupos 3 y 5, así como en el grupo 1, no vacunado pero tratado, en comparación con el grupo 4, puede atribuirse a que el aceite de menta mantiene la integridad estructural de las células inmunes.</w:t>
      </w:r>
    </w:p>
    <w:p w14:paraId="613F6957" w14:textId="77777777" w:rsidR="00675B35" w:rsidRPr="00675B35" w:rsidRDefault="00675B35" w:rsidP="00675B35">
      <w:r w:rsidRPr="00675B35">
        <w:t>Esto ocurre debido a su fuerte acción antioxidante, que protege la membrana celular frente a radicales libres oxidantes, generando una mejor respuesta inmune.</w:t>
      </w:r>
    </w:p>
    <w:p w14:paraId="58B9249E" w14:textId="77777777" w:rsidR="00675B35" w:rsidRPr="00675B35" w:rsidRDefault="00675B35" w:rsidP="00675B35">
      <w:r w:rsidRPr="00675B35">
        <w:t>Otros autores concluyeron que la administración de una mezcla de aceites de eucalipto y menta estimuló la respuesta inmune en pollos.</w:t>
      </w:r>
    </w:p>
    <w:p w14:paraId="51BE9E75" w14:textId="77777777" w:rsidR="00675B35" w:rsidRPr="00675B35" w:rsidRDefault="00675B35" w:rsidP="00675B35">
      <w:r w:rsidRPr="00675B35">
        <w:t>La mejora del sistema inmune por productos herbales y aceites también ha sido reportada por varios investigadores.</w:t>
      </w:r>
    </w:p>
    <w:p w14:paraId="18D1DF46" w14:textId="77777777" w:rsidR="00675B35" w:rsidRPr="00675B35" w:rsidRDefault="00675B35" w:rsidP="00675B35">
      <w:r w:rsidRPr="00675B35">
        <w:pict w14:anchorId="382B65D0">
          <v:rect id="_x0000_i1212" style="width:0;height:1.5pt" o:hralign="center" o:hrstd="t" o:hr="t" fillcolor="#a0a0a0" stroked="f"/>
        </w:pict>
      </w:r>
    </w:p>
    <w:p w14:paraId="466F4211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Lesiones patológicas</w:t>
      </w:r>
    </w:p>
    <w:p w14:paraId="35466483" w14:textId="77777777" w:rsidR="00675B35" w:rsidRPr="00675B35" w:rsidRDefault="00675B35" w:rsidP="00675B35">
      <w:r w:rsidRPr="00675B35">
        <w:t xml:space="preserve">La mejora de las lesiones macroscópicas y microscópicas observada en los grupos suplementados con aceites volátiles, con o sin vacunación, podría deberse a una posible acción antiviral o </w:t>
      </w:r>
      <w:proofErr w:type="spellStart"/>
      <w:r w:rsidRPr="00675B35">
        <w:t>virucida</w:t>
      </w:r>
      <w:proofErr w:type="spellEnd"/>
      <w:r w:rsidRPr="00675B35">
        <w:t>, capaz de influir sobre la virulencia del agente desafiante.</w:t>
      </w:r>
    </w:p>
    <w:p w14:paraId="688AC35D" w14:textId="77777777" w:rsidR="00675B35" w:rsidRPr="00675B35" w:rsidRDefault="00675B35" w:rsidP="00675B35">
      <w:r w:rsidRPr="00675B35">
        <w:t>Además, este efecto podría estar relacionado con la inmunidad celular y local, que participa en la eliminación del virus de los tejidos.</w:t>
      </w:r>
    </w:p>
    <w:p w14:paraId="2E75B575" w14:textId="77777777" w:rsidR="00675B35" w:rsidRPr="00675B35" w:rsidRDefault="00675B35" w:rsidP="00675B35">
      <w:r w:rsidRPr="00675B35">
        <w:t>El aumento del tamaño folicular en las tonsilas cecales con activación linfoblástica observado en los grupos 1, 3 y 5 coincide con estudios previos, donde se reportó que las aves tratadas con aceites esenciales de menta y eucalipto presentaron hiperplasia y activación linfocítica en:</w:t>
      </w:r>
    </w:p>
    <w:p w14:paraId="74BF07D7" w14:textId="77777777" w:rsidR="00675B35" w:rsidRPr="00675B35" w:rsidRDefault="00675B35" w:rsidP="00675B35">
      <w:pPr>
        <w:numPr>
          <w:ilvl w:val="0"/>
          <w:numId w:val="14"/>
        </w:numPr>
      </w:pPr>
      <w:r w:rsidRPr="00675B35">
        <w:t xml:space="preserve">Bolsa de Fabricio. </w:t>
      </w:r>
    </w:p>
    <w:p w14:paraId="5F9CC81A" w14:textId="77777777" w:rsidR="00675B35" w:rsidRPr="00675B35" w:rsidRDefault="00675B35" w:rsidP="00675B35">
      <w:pPr>
        <w:numPr>
          <w:ilvl w:val="0"/>
          <w:numId w:val="14"/>
        </w:numPr>
      </w:pPr>
      <w:r w:rsidRPr="00675B35">
        <w:t xml:space="preserve">Timo. </w:t>
      </w:r>
    </w:p>
    <w:p w14:paraId="1CB5772C" w14:textId="77777777" w:rsidR="00675B35" w:rsidRPr="00675B35" w:rsidRDefault="00675B35" w:rsidP="00675B35">
      <w:pPr>
        <w:numPr>
          <w:ilvl w:val="0"/>
          <w:numId w:val="14"/>
        </w:numPr>
      </w:pPr>
      <w:r w:rsidRPr="00675B35">
        <w:t xml:space="preserve">Bazo. </w:t>
      </w:r>
    </w:p>
    <w:p w14:paraId="78A991C5" w14:textId="77777777" w:rsidR="00675B35" w:rsidRPr="00675B35" w:rsidRDefault="00675B35" w:rsidP="00675B35">
      <w:pPr>
        <w:numPr>
          <w:ilvl w:val="0"/>
          <w:numId w:val="14"/>
        </w:numPr>
      </w:pPr>
      <w:r w:rsidRPr="00675B35">
        <w:t xml:space="preserve">Tonsilas cecales. </w:t>
      </w:r>
    </w:p>
    <w:p w14:paraId="1C4A3B03" w14:textId="77777777" w:rsidR="00675B35" w:rsidRPr="00675B35" w:rsidRDefault="00675B35" w:rsidP="00675B35">
      <w:r w:rsidRPr="00675B35">
        <w:pict w14:anchorId="73EDA10B">
          <v:rect id="_x0000_i1213" style="width:0;height:1.5pt" o:hralign="center" o:hrstd="t" o:hr="t" fillcolor="#a0a0a0" stroked="f"/>
        </w:pict>
      </w:r>
    </w:p>
    <w:p w14:paraId="66C6B316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Conclusiones</w:t>
      </w:r>
    </w:p>
    <w:p w14:paraId="6FD13A64" w14:textId="77777777" w:rsidR="00675B35" w:rsidRPr="00675B35" w:rsidRDefault="00675B35" w:rsidP="00675B35">
      <w:r w:rsidRPr="00675B35">
        <w:t>La mezcla de aceites esenciales de menta y eucalipto demostró tener efectos inmunomoduladores.</w:t>
      </w:r>
    </w:p>
    <w:p w14:paraId="48BA01A4" w14:textId="77777777" w:rsidR="00675B35" w:rsidRPr="00675B35" w:rsidRDefault="00675B35" w:rsidP="00675B35">
      <w:r w:rsidRPr="00675B35">
        <w:t xml:space="preserve">Además, estimuló positivamente la respuesta inmune contra el virus </w:t>
      </w:r>
      <w:proofErr w:type="spellStart"/>
      <w:r w:rsidRPr="00675B35">
        <w:t>velogénico</w:t>
      </w:r>
      <w:proofErr w:type="spellEnd"/>
      <w:r w:rsidRPr="00675B35">
        <w:t xml:space="preserve"> de Newcastle, una enfermedad de gran impacto económico negativo en la industria avícola.</w:t>
      </w:r>
    </w:p>
    <w:p w14:paraId="22DDDF66" w14:textId="77777777" w:rsidR="00675B35" w:rsidRPr="00675B35" w:rsidRDefault="00675B35" w:rsidP="00675B35">
      <w:r w:rsidRPr="00675B35">
        <w:t>También mejoró los parámetros clínicos, patológicos y productivos de los pollos evaluados.</w:t>
      </w:r>
    </w:p>
    <w:p w14:paraId="34D01855" w14:textId="77777777" w:rsidR="00675B35" w:rsidRPr="00675B35" w:rsidRDefault="00675B35" w:rsidP="00675B35">
      <w:r w:rsidRPr="00675B35">
        <w:lastRenderedPageBreak/>
        <w:pict w14:anchorId="7E4823F2">
          <v:rect id="_x0000_i1214" style="width:0;height:1.5pt" o:hralign="center" o:hrstd="t" o:hr="t" fillcolor="#a0a0a0" stroked="f"/>
        </w:pict>
      </w:r>
    </w:p>
    <w:p w14:paraId="2E424B46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Traducción de figuras principales</w:t>
      </w:r>
    </w:p>
    <w:p w14:paraId="404E8077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Figura 1</w:t>
      </w:r>
    </w:p>
    <w:p w14:paraId="1EA32C60" w14:textId="77777777" w:rsidR="00675B35" w:rsidRPr="00675B35" w:rsidRDefault="00675B35" w:rsidP="00675B35">
      <w:r w:rsidRPr="00675B35">
        <w:t>Patrón electroforético por PCR del gen amplificado de la proteína de fusión del virus de Newcastle.</w:t>
      </w:r>
    </w:p>
    <w:p w14:paraId="74EA1BDD" w14:textId="77777777" w:rsidR="00675B35" w:rsidRPr="00675B35" w:rsidRDefault="00675B35" w:rsidP="00675B35">
      <w:pPr>
        <w:numPr>
          <w:ilvl w:val="0"/>
          <w:numId w:val="15"/>
        </w:numPr>
      </w:pPr>
      <w:r w:rsidRPr="00675B35">
        <w:t xml:space="preserve">Carril 1: marcador molecular de 100 pares de bases. </w:t>
      </w:r>
    </w:p>
    <w:p w14:paraId="543BE7F1" w14:textId="77777777" w:rsidR="00675B35" w:rsidRPr="00675B35" w:rsidRDefault="00675B35" w:rsidP="00675B35">
      <w:pPr>
        <w:numPr>
          <w:ilvl w:val="0"/>
          <w:numId w:val="15"/>
        </w:numPr>
      </w:pPr>
      <w:r w:rsidRPr="00675B35">
        <w:t xml:space="preserve">Carril 2: muestra de fluido de huevo con resultado positivo a 200 pb. </w:t>
      </w:r>
    </w:p>
    <w:p w14:paraId="193DEFBB" w14:textId="77777777" w:rsidR="00675B35" w:rsidRPr="00675B35" w:rsidRDefault="00675B35" w:rsidP="00675B35">
      <w:pPr>
        <w:numPr>
          <w:ilvl w:val="0"/>
          <w:numId w:val="15"/>
        </w:numPr>
      </w:pPr>
      <w:r w:rsidRPr="00675B35">
        <w:t xml:space="preserve">Carriles 3 a 5: muestras control negativas de fluido de huevo. </w:t>
      </w:r>
    </w:p>
    <w:p w14:paraId="782290FA" w14:textId="77777777" w:rsidR="00675B35" w:rsidRPr="00675B35" w:rsidRDefault="00675B35" w:rsidP="00675B35">
      <w:r w:rsidRPr="00675B35">
        <w:pict w14:anchorId="3097EBFB">
          <v:rect id="_x0000_i1215" style="width:0;height:1.5pt" o:hralign="center" o:hrstd="t" o:hr="t" fillcolor="#a0a0a0" stroked="f"/>
        </w:pict>
      </w:r>
    </w:p>
    <w:p w14:paraId="6120C1ED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Figura 2</w:t>
      </w:r>
    </w:p>
    <w:p w14:paraId="40BC8BB9" w14:textId="77777777" w:rsidR="00675B35" w:rsidRPr="00675B35" w:rsidRDefault="00675B35" w:rsidP="00675B35">
      <w:r w:rsidRPr="00675B35">
        <w:t>Secuencia de aminoácidos de la proteína de fusión del aislado del virus de Newcastle.</w:t>
      </w:r>
    </w:p>
    <w:p w14:paraId="1C48FDE5" w14:textId="77777777" w:rsidR="00675B35" w:rsidRPr="00675B35" w:rsidRDefault="00675B35" w:rsidP="00675B35">
      <w:r w:rsidRPr="00675B35">
        <w:pict w14:anchorId="4F44D9C5">
          <v:rect id="_x0000_i1216" style="width:0;height:1.5pt" o:hralign="center" o:hrstd="t" o:hr="t" fillcolor="#a0a0a0" stroked="f"/>
        </w:pict>
      </w:r>
    </w:p>
    <w:p w14:paraId="3740EAD2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Figura 3</w:t>
      </w:r>
    </w:p>
    <w:p w14:paraId="507D4FB5" w14:textId="77777777" w:rsidR="00675B35" w:rsidRPr="00675B35" w:rsidRDefault="00675B35" w:rsidP="00675B35">
      <w:r w:rsidRPr="00675B35">
        <w:t>Lesiones microscópicas en tráquea. Tinción H&amp;E, aumento 200x.</w:t>
      </w:r>
    </w:p>
    <w:p w14:paraId="7267AF4A" w14:textId="77777777" w:rsidR="00675B35" w:rsidRPr="00675B35" w:rsidRDefault="00675B35" w:rsidP="00675B35">
      <w:r w:rsidRPr="00675B35">
        <w:t xml:space="preserve">a) Grupo tratado con </w:t>
      </w:r>
      <w:proofErr w:type="spellStart"/>
      <w:r w:rsidRPr="00675B35">
        <w:t>Mentofin</w:t>
      </w:r>
      <w:proofErr w:type="spellEnd"/>
      <w:r w:rsidRPr="00675B35">
        <w:t xml:space="preserve">, grupo 1: muestra </w:t>
      </w:r>
      <w:proofErr w:type="spellStart"/>
      <w:r w:rsidRPr="00675B35">
        <w:t>deciliación</w:t>
      </w:r>
      <w:proofErr w:type="spellEnd"/>
      <w:r w:rsidRPr="00675B35">
        <w:t xml:space="preserve"> e hiperplasia del epitelio mucoso traqueal, asociada con infiltración linfocítica, congestión, edema leve de la lámina propia y poca exudación de eritrocitos.</w:t>
      </w:r>
    </w:p>
    <w:p w14:paraId="0EBC903D" w14:textId="77777777" w:rsidR="00675B35" w:rsidRPr="00675B35" w:rsidRDefault="00675B35" w:rsidP="00675B35">
      <w:r w:rsidRPr="00675B35">
        <w:t xml:space="preserve">b) Grupo vacunado, grupo 2: muestra hipertrofia e hiperplasia de la mucosa traqueal, con </w:t>
      </w:r>
      <w:proofErr w:type="spellStart"/>
      <w:r w:rsidRPr="00675B35">
        <w:t>deciliación</w:t>
      </w:r>
      <w:proofErr w:type="spellEnd"/>
      <w:r w:rsidRPr="00675B35">
        <w:t xml:space="preserve"> extensa, infiltración linfocítica, congestión moderada y edema.</w:t>
      </w:r>
    </w:p>
    <w:p w14:paraId="72F62C6E" w14:textId="77777777" w:rsidR="00675B35" w:rsidRPr="00675B35" w:rsidRDefault="00675B35" w:rsidP="00675B35">
      <w:r w:rsidRPr="00675B35">
        <w:t xml:space="preserve">c) Grupo tratado con </w:t>
      </w:r>
      <w:proofErr w:type="spellStart"/>
      <w:r w:rsidRPr="00675B35">
        <w:t>Mentofin</w:t>
      </w:r>
      <w:proofErr w:type="spellEnd"/>
      <w:r w:rsidRPr="00675B35">
        <w:t xml:space="preserve"> y vacunado, grupo 3: muestra </w:t>
      </w:r>
      <w:proofErr w:type="spellStart"/>
      <w:r w:rsidRPr="00675B35">
        <w:t>deciliación</w:t>
      </w:r>
      <w:proofErr w:type="spellEnd"/>
      <w:r w:rsidRPr="00675B35">
        <w:t xml:space="preserve"> focal leve de la mucosa traqueal, hiperplasia de células caliciformes y reacción inflamatoria leve en la mucosa.</w:t>
      </w:r>
    </w:p>
    <w:p w14:paraId="6913619C" w14:textId="77777777" w:rsidR="00675B35" w:rsidRPr="00675B35" w:rsidRDefault="00675B35" w:rsidP="00675B35">
      <w:r w:rsidRPr="00675B35">
        <w:t>d) Grupo no tratado y no vacunado, control positivo, grupo 4: muestra necrosis extensa con hiperplasia de la mucosa traqueal, edema severo, congestión y hemorragias en la lámina propia.</w:t>
      </w:r>
    </w:p>
    <w:p w14:paraId="27947C02" w14:textId="77777777" w:rsidR="00675B35" w:rsidRPr="00675B35" w:rsidRDefault="00675B35" w:rsidP="00675B35">
      <w:r w:rsidRPr="00675B35">
        <w:pict w14:anchorId="1F632F63">
          <v:rect id="_x0000_i1217" style="width:0;height:1.5pt" o:hralign="center" o:hrstd="t" o:hr="t" fillcolor="#a0a0a0" stroked="f"/>
        </w:pict>
      </w:r>
    </w:p>
    <w:p w14:paraId="06662682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Figura 4</w:t>
      </w:r>
    </w:p>
    <w:p w14:paraId="17DFEB2C" w14:textId="77777777" w:rsidR="00675B35" w:rsidRPr="00675B35" w:rsidRDefault="00675B35" w:rsidP="00675B35">
      <w:r w:rsidRPr="00675B35">
        <w:t>Lesiones microscópicas en pulmones. Tinción H&amp;E.</w:t>
      </w:r>
    </w:p>
    <w:p w14:paraId="044DB554" w14:textId="77777777" w:rsidR="00675B35" w:rsidRPr="00675B35" w:rsidRDefault="00675B35" w:rsidP="00675B35">
      <w:r w:rsidRPr="00675B35">
        <w:t xml:space="preserve">a) Grupo tratado con </w:t>
      </w:r>
      <w:proofErr w:type="spellStart"/>
      <w:r w:rsidRPr="00675B35">
        <w:t>Mentofin</w:t>
      </w:r>
      <w:proofErr w:type="spellEnd"/>
      <w:r w:rsidRPr="00675B35">
        <w:t xml:space="preserve">, grupo 1: no muestra reacción inflamatoria en </w:t>
      </w:r>
      <w:proofErr w:type="spellStart"/>
      <w:r w:rsidRPr="00675B35">
        <w:t>parabronquios</w:t>
      </w:r>
      <w:proofErr w:type="spellEnd"/>
      <w:r w:rsidRPr="00675B35">
        <w:t xml:space="preserve"> ni capilares aéreos, excepto congestión leve de capilares sanguíneos.</w:t>
      </w:r>
    </w:p>
    <w:p w14:paraId="34320FCA" w14:textId="77777777" w:rsidR="00675B35" w:rsidRPr="00675B35" w:rsidRDefault="00675B35" w:rsidP="00675B35">
      <w:r w:rsidRPr="00675B35">
        <w:t xml:space="preserve">b) Grupo vacunado, grupo 2: muestra desprendimiento del epitelio que recubre el </w:t>
      </w:r>
      <w:proofErr w:type="spellStart"/>
      <w:r w:rsidRPr="00675B35">
        <w:t>parabronquio</w:t>
      </w:r>
      <w:proofErr w:type="spellEnd"/>
      <w:r w:rsidRPr="00675B35">
        <w:t>, congestión de capilares sanguíneos y edema. Aumento 400x.</w:t>
      </w:r>
    </w:p>
    <w:p w14:paraId="7F947BAA" w14:textId="77777777" w:rsidR="00675B35" w:rsidRPr="00675B35" w:rsidRDefault="00675B35" w:rsidP="00675B35">
      <w:r w:rsidRPr="00675B35">
        <w:t xml:space="preserve">c) Grupo tratado con </w:t>
      </w:r>
      <w:proofErr w:type="spellStart"/>
      <w:r w:rsidRPr="00675B35">
        <w:t>Mentofin</w:t>
      </w:r>
      <w:proofErr w:type="spellEnd"/>
      <w:r w:rsidRPr="00675B35">
        <w:t xml:space="preserve"> y vacunado, grupo 3: muestra congestión leve de capilares sanguíneos en los lóbulos pulmonares, asociada con edema perivascular leve.</w:t>
      </w:r>
    </w:p>
    <w:p w14:paraId="7E592D4D" w14:textId="77777777" w:rsidR="00675B35" w:rsidRPr="00675B35" w:rsidRDefault="00675B35" w:rsidP="00675B35">
      <w:r w:rsidRPr="00675B35">
        <w:t xml:space="preserve">d) Grupo no tratado y no vacunado, control positivo, grupo 4: muestra necrosis del epitelio que recubre </w:t>
      </w:r>
      <w:proofErr w:type="spellStart"/>
      <w:r w:rsidRPr="00675B35">
        <w:t>parabronquios</w:t>
      </w:r>
      <w:proofErr w:type="spellEnd"/>
      <w:r w:rsidRPr="00675B35">
        <w:t xml:space="preserve"> y capilares aéreos, congestión de capilares sanguíneos, destrucción extensa de </w:t>
      </w:r>
      <w:proofErr w:type="spellStart"/>
      <w:r w:rsidRPr="00675B35">
        <w:t>parabronquios</w:t>
      </w:r>
      <w:proofErr w:type="spellEnd"/>
      <w:r w:rsidRPr="00675B35">
        <w:t>, edema severo de capilares aéreos y obliteración extensa de capilares aéreos. Aumento 400x.</w:t>
      </w:r>
    </w:p>
    <w:p w14:paraId="3E2BEF9D" w14:textId="77777777" w:rsidR="00675B35" w:rsidRPr="00675B35" w:rsidRDefault="00675B35" w:rsidP="00675B35">
      <w:r w:rsidRPr="00675B35">
        <w:lastRenderedPageBreak/>
        <w:pict w14:anchorId="3B1DB41E">
          <v:rect id="_x0000_i1218" style="width:0;height:1.5pt" o:hralign="center" o:hrstd="t" o:hr="t" fillcolor="#a0a0a0" stroked="f"/>
        </w:pict>
      </w:r>
    </w:p>
    <w:p w14:paraId="369431A1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Figura 5</w:t>
      </w:r>
    </w:p>
    <w:p w14:paraId="6E40ADED" w14:textId="77777777" w:rsidR="00675B35" w:rsidRPr="00675B35" w:rsidRDefault="00675B35" w:rsidP="00675B35">
      <w:r w:rsidRPr="00675B35">
        <w:t>Lesiones microscópicas de tonsilas cecales. Tinción H&amp;E.</w:t>
      </w:r>
    </w:p>
    <w:p w14:paraId="425D3F07" w14:textId="77777777" w:rsidR="00675B35" w:rsidRPr="00675B35" w:rsidRDefault="00675B35" w:rsidP="00675B35">
      <w:r w:rsidRPr="00675B35">
        <w:t>a) Grupo vacunado, grupo 2: muestra hiperplasia extensa de los folículos linfoides. Aumento 100x.</w:t>
      </w:r>
    </w:p>
    <w:p w14:paraId="0E47D8F8" w14:textId="77777777" w:rsidR="00675B35" w:rsidRPr="00675B35" w:rsidRDefault="00675B35" w:rsidP="00675B35">
      <w:r w:rsidRPr="00675B35">
        <w:t xml:space="preserve">b) Grupo tratado con </w:t>
      </w:r>
      <w:proofErr w:type="spellStart"/>
      <w:r w:rsidRPr="00675B35">
        <w:t>Mentofin</w:t>
      </w:r>
      <w:proofErr w:type="spellEnd"/>
      <w:r w:rsidRPr="00675B35">
        <w:t>, grupo 1: muestra depleción leve de elementos linfoides. Aumento 400x.</w:t>
      </w:r>
    </w:p>
    <w:p w14:paraId="755B6B5F" w14:textId="77777777" w:rsidR="00675B35" w:rsidRPr="00675B35" w:rsidRDefault="00675B35" w:rsidP="00675B35">
      <w:r w:rsidRPr="00675B35">
        <w:t xml:space="preserve">c) Grupo tratado con </w:t>
      </w:r>
      <w:proofErr w:type="spellStart"/>
      <w:r w:rsidRPr="00675B35">
        <w:t>Mentofin</w:t>
      </w:r>
      <w:proofErr w:type="spellEnd"/>
      <w:r w:rsidRPr="00675B35">
        <w:t xml:space="preserve"> y vacunado, grupo 3: muestra depleción linfocítica leve del folículo linfoide con activación linfoblástica. Aumento 400x.</w:t>
      </w:r>
    </w:p>
    <w:p w14:paraId="4F330E14" w14:textId="77777777" w:rsidR="00675B35" w:rsidRPr="00675B35" w:rsidRDefault="00675B35" w:rsidP="00675B35">
      <w:r w:rsidRPr="00675B35">
        <w:t xml:space="preserve">d) Grupo no tratado y no vacunado, control positivo, grupo 4: muestra </w:t>
      </w:r>
      <w:proofErr w:type="spellStart"/>
      <w:r w:rsidRPr="00675B35">
        <w:t>linfocitólisis</w:t>
      </w:r>
      <w:proofErr w:type="spellEnd"/>
      <w:r w:rsidRPr="00675B35">
        <w:t xml:space="preserve"> severa y necrosis de la mayoría de </w:t>
      </w:r>
      <w:proofErr w:type="gramStart"/>
      <w:r w:rsidRPr="00675B35">
        <w:t>elementos</w:t>
      </w:r>
      <w:proofErr w:type="gramEnd"/>
      <w:r w:rsidRPr="00675B35">
        <w:t xml:space="preserve"> linfoides que componen el folículo. Aumento 400x.</w:t>
      </w:r>
    </w:p>
    <w:p w14:paraId="74AFE4C3" w14:textId="77777777" w:rsidR="00675B35" w:rsidRPr="00675B35" w:rsidRDefault="00675B35" w:rsidP="00675B35">
      <w:r w:rsidRPr="00675B35">
        <w:pict w14:anchorId="7D93C3DA">
          <v:rect id="_x0000_i1219" style="width:0;height:1.5pt" o:hralign="center" o:hrstd="t" o:hr="t" fillcolor="#a0a0a0" stroked="f"/>
        </w:pict>
      </w:r>
    </w:p>
    <w:p w14:paraId="1AE80254" w14:textId="77777777" w:rsidR="00675B35" w:rsidRPr="00675B35" w:rsidRDefault="00675B35" w:rsidP="00675B35">
      <w:pPr>
        <w:rPr>
          <w:b/>
          <w:bCs/>
        </w:rPr>
      </w:pPr>
      <w:r w:rsidRPr="00675B35">
        <w:rPr>
          <w:b/>
          <w:bCs/>
        </w:rPr>
        <w:t>Contribución de los autores</w:t>
      </w:r>
    </w:p>
    <w:p w14:paraId="51AE2329" w14:textId="77777777" w:rsidR="00675B35" w:rsidRPr="00675B35" w:rsidRDefault="00675B35" w:rsidP="00675B35">
      <w:r w:rsidRPr="00675B35">
        <w:t>MHHA y HMH planificaron la investigación.</w:t>
      </w:r>
    </w:p>
    <w:p w14:paraId="2087C326" w14:textId="77777777" w:rsidR="00675B35" w:rsidRPr="00675B35" w:rsidRDefault="00675B35" w:rsidP="00675B35">
      <w:r w:rsidRPr="00675B35">
        <w:t>MAA y SAZ aplicaron la evaluación del estado inmune y registraron la mortalidad y las lesiones post mortem.</w:t>
      </w:r>
    </w:p>
    <w:p w14:paraId="135647D3" w14:textId="77777777" w:rsidR="00675B35" w:rsidRPr="00675B35" w:rsidRDefault="00675B35" w:rsidP="00675B35">
      <w:r w:rsidRPr="00675B35">
        <w:t>FFM realizó el examen histopatológico.</w:t>
      </w:r>
    </w:p>
    <w:p w14:paraId="700E13E9" w14:textId="77777777" w:rsidR="00675B35" w:rsidRPr="00675B35" w:rsidRDefault="00675B35" w:rsidP="00675B35">
      <w:r w:rsidRPr="00675B35">
        <w:t>MAE aplicó los valores de rendimiento productivo y el análisis estadístico.</w:t>
      </w:r>
    </w:p>
    <w:p w14:paraId="671EBC91" w14:textId="77777777" w:rsidR="00675B35" w:rsidRPr="00675B35" w:rsidRDefault="00675B35" w:rsidP="00675B35">
      <w:r w:rsidRPr="00675B35">
        <w:t>Todos los autores participaron en la redacción y revisión del manuscrito. Todos leyeron y aprobaron la versión final.</w:t>
      </w:r>
    </w:p>
    <w:p w14:paraId="2134E84F" w14:textId="77777777" w:rsidR="00675B35" w:rsidRPr="00675B35" w:rsidRDefault="00675B35" w:rsidP="00675B35">
      <w:r w:rsidRPr="00675B35">
        <w:pict w14:anchorId="28CD840C">
          <v:rect id="_x0000_i1220" style="width:0;height:1.5pt" o:hralign="center" o:hrstd="t" o:hr="t" fillcolor="#a0a0a0" stroked="f"/>
        </w:pict>
      </w:r>
    </w:p>
    <w:p w14:paraId="05C0EC2E" w14:textId="77777777" w:rsidR="00675B35" w:rsidRPr="00675B35" w:rsidRDefault="00675B35" w:rsidP="00675B35">
      <w:r w:rsidRPr="00675B35">
        <w:t>Las referencias bibliográficas se mantienen igual que en el documento original porque son citas científicas y normalmente no se traducen.</w:t>
      </w:r>
    </w:p>
    <w:p w14:paraId="166AF499" w14:textId="77777777" w:rsidR="00675B35" w:rsidRDefault="00675B35"/>
    <w:sectPr w:rsidR="00675B35" w:rsidSect="00675B35">
      <w:pgSz w:w="11906" w:h="16838"/>
      <w:pgMar w:top="568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03529"/>
    <w:multiLevelType w:val="multilevel"/>
    <w:tmpl w:val="25884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662172"/>
    <w:multiLevelType w:val="multilevel"/>
    <w:tmpl w:val="AFB66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A16D8"/>
    <w:multiLevelType w:val="multilevel"/>
    <w:tmpl w:val="FDD6A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3C6E8C"/>
    <w:multiLevelType w:val="multilevel"/>
    <w:tmpl w:val="8668B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245733"/>
    <w:multiLevelType w:val="multilevel"/>
    <w:tmpl w:val="121E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8A32B4"/>
    <w:multiLevelType w:val="multilevel"/>
    <w:tmpl w:val="A958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FC381A"/>
    <w:multiLevelType w:val="multilevel"/>
    <w:tmpl w:val="E9AAB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4A2DC7"/>
    <w:multiLevelType w:val="multilevel"/>
    <w:tmpl w:val="AED8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B1533A"/>
    <w:multiLevelType w:val="multilevel"/>
    <w:tmpl w:val="27FAF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8B5454"/>
    <w:multiLevelType w:val="multilevel"/>
    <w:tmpl w:val="E1EA7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6A5048"/>
    <w:multiLevelType w:val="multilevel"/>
    <w:tmpl w:val="27487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CD1F54"/>
    <w:multiLevelType w:val="multilevel"/>
    <w:tmpl w:val="0454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B956CF"/>
    <w:multiLevelType w:val="multilevel"/>
    <w:tmpl w:val="F95AB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4579DF"/>
    <w:multiLevelType w:val="multilevel"/>
    <w:tmpl w:val="6B0C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9727D6"/>
    <w:multiLevelType w:val="multilevel"/>
    <w:tmpl w:val="D35AD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164096">
    <w:abstractNumId w:val="0"/>
  </w:num>
  <w:num w:numId="2" w16cid:durableId="339040874">
    <w:abstractNumId w:val="4"/>
  </w:num>
  <w:num w:numId="3" w16cid:durableId="1910994133">
    <w:abstractNumId w:val="9"/>
  </w:num>
  <w:num w:numId="4" w16cid:durableId="1224874619">
    <w:abstractNumId w:val="13"/>
  </w:num>
  <w:num w:numId="5" w16cid:durableId="230652514">
    <w:abstractNumId w:val="6"/>
  </w:num>
  <w:num w:numId="6" w16cid:durableId="1801919352">
    <w:abstractNumId w:val="8"/>
  </w:num>
  <w:num w:numId="7" w16cid:durableId="1028606832">
    <w:abstractNumId w:val="2"/>
  </w:num>
  <w:num w:numId="8" w16cid:durableId="448552168">
    <w:abstractNumId w:val="7"/>
  </w:num>
  <w:num w:numId="9" w16cid:durableId="1881625567">
    <w:abstractNumId w:val="14"/>
  </w:num>
  <w:num w:numId="10" w16cid:durableId="1188981763">
    <w:abstractNumId w:val="11"/>
  </w:num>
  <w:num w:numId="11" w16cid:durableId="1336766339">
    <w:abstractNumId w:val="1"/>
  </w:num>
  <w:num w:numId="12" w16cid:durableId="1408960804">
    <w:abstractNumId w:val="10"/>
  </w:num>
  <w:num w:numId="13" w16cid:durableId="719205119">
    <w:abstractNumId w:val="12"/>
  </w:num>
  <w:num w:numId="14" w16cid:durableId="707997782">
    <w:abstractNumId w:val="3"/>
  </w:num>
  <w:num w:numId="15" w16cid:durableId="8024234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B35"/>
    <w:rsid w:val="00340390"/>
    <w:rsid w:val="0067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D8A2D4"/>
  <w15:chartTrackingRefBased/>
  <w15:docId w15:val="{6EDE9D51-F187-40C2-B810-E9F6C6F81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75B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75B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75B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75B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75B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75B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75B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75B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75B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75B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75B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75B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75B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75B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75B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75B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75B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75B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75B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75B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75B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75B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75B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75B3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75B3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75B3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75B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75B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75B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2817</Words>
  <Characters>15499</Characters>
  <Application>Microsoft Office Word</Application>
  <DocSecurity>0</DocSecurity>
  <Lines>129</Lines>
  <Paragraphs>36</Paragraphs>
  <ScaleCrop>false</ScaleCrop>
  <Company/>
  <LinksUpToDate>false</LinksUpToDate>
  <CharactersWithSpaces>18280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 Lili</dc:creator>
  <cp:keywords/>
  <dc:description/>
  <cp:lastModifiedBy>Lili Lili</cp:lastModifiedBy>
  <cp:revision>1</cp:revision>
  <cp:lastPrinted>2026-05-04T23:23:00Z</cp:lastPrinted>
  <dcterms:created xsi:type="dcterms:W3CDTF">2026-05-04T23:22:00Z</dcterms:created>
  <dcterms:modified xsi:type="dcterms:W3CDTF">2026-05-04T23:27:00Z</dcterms:modified>
</cp:coreProperties>
</file>